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武汉市人民防空条例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日武汉市第十一届人民代表大会常务委员会第十次会议通过  </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日湖北省第十届人民代表大会常务委员会第九次会议通过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日湖北省第十三届人民代表大会常务委员会第十次会议批准的《武汉市人民代表大会常务委员会关于集中修改、废止部分地方性法规的决定》修正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为了促进人民防空建设，有效组织人民防空，保护人民生命财产安全，根据《中华人民共和国人民防空法》、《湖北省实施〈中华人民共和国人民防空法〉办法》，结合本市实际，制定本条例。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本市行政区域内的一切组织和个人均应当遵守本条例。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市人民政府、武汉警备区领导本市人民防空工作。各区人民政府和同级军事机关领导本区的人民防空工作。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市、区人民防空主管部门管理本行政区域的人民防空工作。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乡（镇）人民政府、街道办事处按照国家、省、市的有关规定开展人民防空工作。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市、区计划、建设、规划</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国土资源</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等有关部门在各自职责范围内做好人民防空工作。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市、区人民政府应当将人民防空建设纳入同级国民经济和社会发展计划，按照适应现代战争需要、平战结合、方便群众的原则制定人民防空工程建设和通信警报建设规划，并纳入城市总体规划，同步组织实施。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人民防空经费由国家和社会共同负担。</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市、区人民政府应当将人民防空经费列入同级财政预算。</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有关单位应当按照国家规定负担人民防空经费。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人民防空经费应当专款专用，任何单位和个人不得截留或者挪用。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鼓励、支持企业事业单位、社会团体和个人，通过多种途径，投资建设人民防空工程。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城市的地下交通干线以及其他地下工程的规划与建设，应当兼顾人民防空的需要，其口部等关键部位和重要设施应当符合人民防空防护标准；有条件的，还应当与邻近的人民防空工程相连通，逐步形成城市地下防护空间体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市、区人民政府会同同级军事机关制定本行政区域内的防空袭方案及实施计划，必要时可以组织演习。</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重要经济目标单位在市、区人民防空主管部门指导下，按照国家有关规定制定防护方案和应急抢险抢修方案。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人民防空工程建设规划确定的人民防空工程口部和出入通道，规划部门应当按照国家和省有关规定予以预留。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已建人民防空工程的口部数量和口部地面用地面积与其用途不相适应的，由人民防空主管部门向规划部门提出调整申请，规划部门应当按照国家和省有关规定予以调整。</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禁止在国家和省规定的人民防空工程地面控制用地范围内和人民防空工程口部专用通道建造建筑物和构筑物。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人民防空工程建设的设计、施工、质量应当符合国家规定的防护标准和质量标准。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人民防空工程应当由具有相应资质的单位设计、施工。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市人民防空主管部门按照国家和省有关规定对人民防空工程的设计进行审查。建设单位应当按照经审查的设计图和施工程序进行施工，市、区人民防空主管部门应当加强监督检查。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人民防空工程竣工后，建设单位应当组织竣工验收，并向人民防空主管部门办理竣工验收备案手续。</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城市新建民用建筑应当按照国家和省规定同步规划、同步设计、同步建设防空地下室。</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新建防空地下室的抗力等级和战时用途由市人民防空主管部门确定。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应当修建防空地下室，但受客观条件限制有下列情形之一不能修建的，经市人民防空主管部门批准，按照省规定缴纳易地建设费，由人民防空主管部门按照人民防空工程建设规划统筹安排易地修建：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（一）采用桩基且桩基承台顶面埋置深度小于</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米（或者不足规定的地下室空间净高）的；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（二）因建设地段房屋或地下管网密集，防空地下室不能施工或者难以采取措施保证施工安全的；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（三）按照规定应建人民防空工程面积小于民用建筑地面首层面积的；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（四）在建筑物下只能局部修建防空地下室，达不到规定指标的；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（五）建在暗河、流沙等地质条件差的地段的民用建筑。</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除国家规定的减免项目外，任何部门和个人不得批准减免应建防空地下室建筑面积和人民防空工程易地建设费。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人民防空工程易地建设费的收取标准应当公布。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人民防空工程易地建设费，纳入财政管理，专项用于人民防空工程建设。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建设单位未按照规定办理修建防空地下室审批手续或者缴纳人民防空工程易地建设费的，建设部门不得办理其建设项目施工的发证手续。</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凡依法占有、使用和管理人民防空资产的单位和个人应当向所在地人民防空主管部门办理人民防空资产登记手续。人民防空资产发生转移、变更时，应当办理变更登记。法律、行政法规另有规定的，从其规定。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对用于人员掩蔽的人民防空工程和具有一定防护能力的城市地下交通干线、地下商业娱乐设施、地下停车场、地下过街道、共同沟等地下工程，建有或者使用人民防空工程的单位和个人应当在出入口处设置统一规范的标识；标识破损、丢失的，设置单位和个人应当及时更换、补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有关部门和单位应当按照规定，对人民防空工程进行经常性维护管理，使其保持良好使用状态。公用的人民防空工程，由人民防空主管部门负责维护管理；其他工程由占有或者使用单位负责维护管理。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人民防空主管部门应当对人民防空工程的维护管理进行监督检查。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人民防空工程维护管理单位应当建立规章制度，明确维护管理职责，确定维护管理人员，加强人民防空工程的维修养护和设备设施的更新工作。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任何单位和个人不得向人民防空工程内排入废水、废气和倾倒废弃物，不得在人民防空工程内生产和储存易燃、易爆、剧毒、放射性和腐蚀性物品。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人民防空工程除防空指挥所等重要工程外，在保障其防空效能的条件下，鼓励平时予以开发利用。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平时开发利用人民防空工程的，应当符合消防安全的有关规定，不得擅自改变人民防空工程结构，不得拆除、损坏设备设施，不得影响其防空效能。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人民防空工程，战时应当服从防空需要，统一调配使用。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平时开发利用人民防空工程的，应当到所在地人民防空主管部门登记；变更人民防空工程使用权的，应当到人民防空主管部门办理变更登记。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人民防空工程（含配套设施及附属工程）建设和平时开发利用所涉及的税费按照国家和省规定给予减免或者优惠。具体减免和优惠应当向社会公布。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任何单位和个人不得擅自拆除人民防空指挥工程、人员掩蔽工程和疏散干道工程以及医疗救护、物资储备等专用工程；因城市经济建设、市政建设、旧城改建或者整理储备土地确需拆除的，必须报经人民防空主管部门批准，由拆除单位负责依法补建或者补偿。</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人民防空指挥通信、警报网络应当逐步与军队的侦察、预警系统形成一体化网络，并与地方电信网相连通，平时应当为城市防灾救灾和应急救援服务。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人民防空通信和警报所需的电路、专用线路和使用频率，相关部门必须予以保障，其他部门和个人不得占用。通信警报免缴频率占用费。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规划部门应当根据人民防空警报建设规划，会同人民防空主管部门确定设置人民防空警报设施的具体位置。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建设单位应当按照确定的具体位置，在建筑物上预留人民防空警报设施的位置，修建相关基础设施，并在其顶层提供警报设施专用房和线路管孔、电源。</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人民防空主管部门安装人民防空警报设施，有关单位和个人应当积极配合，不得拒绝和阻挠。</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人民防空警报设施设点单位应当按照国家规定，负责对人民防空警报设施进行维护管理，使其保持良好使用状态。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安装警报设施建筑物的权属发生变更时，原权属单位和取得权属的单位，应当到所在区人民防空主管部门办理移交手续。</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未经人民防空主管部门批准不得擅自拆除、迁移人民防空警报设施。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每年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25</w:t>
      </w:r>
      <w:r>
        <w:rPr>
          <w:rFonts w:ascii="仿宋_GB2312" w:hAnsi="仿宋_GB2312" w:cs="仿宋_GB2312" w:hint="eastAsia" w:eastAsia="仿宋_GB2312"/>
          <w:spacing w:val="-3"/>
          <w:sz w:val="32"/>
          <w:szCs w:val="32"/>
        </w:rPr>
        <w:t>日进行全市人民防空警报试鸣。确需改变防空警报试鸣日期的，由市人民政府另行确定。试鸣五日前应当发布公告。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通信、广播、电视系统和其他有关部门的通信系统，应当在每年的人民防空警报试鸣时优先传递、发放人民防空警报信号。供电、公安、新闻等有关单位应当配合人民防空部门做好警报试鸣其他相关工作。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市、区、乡（镇）人民政府及街道办事处根据人民防空需要，按照国家规定组建群众防空组织。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群众防空组织战时承担人民防空任务，平时协助有关部门担负抢险救灾任务。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市人民防空主管部门应当根据国家颁布的训练大纲，制定群众防空组织训练计划并组织实施。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群众防空组织按照上级训练指示，组织集中脱产训练或者结合生产、工作开展训练，并根据情况组织综合演练或者演习。所需装备、器材和集中脱产训练的生活补助经费按照国家有关规定执行。特殊的专用训练器材设备由人民防空主管部门提供。</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人民防空疏散由市、区人民政府统一组织。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人民防空疏散应当根据国家发布的命令实施，任何单位和个人不得擅自行动。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第三十二条 </w:t>
      </w:r>
      <w:r>
        <w:rPr>
          <w:rFonts w:ascii="仿宋_GB2312" w:hAnsi="仿宋_GB2312" w:cs="仿宋_GB2312" w:hint="eastAsia" w:eastAsia="仿宋_GB2312"/>
          <w:spacing w:val="-3"/>
          <w:sz w:val="32"/>
          <w:szCs w:val="32"/>
        </w:rPr>
        <w:t xml:space="preserve"> 市、区人民政府应当组织有关部门制定疏散、掩蔽计划，必要时可以组织演练，指导单位和个人辨别防空袭警报音响信号，熟悉疏散路线、掩蔽场所。</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市、区人民政府应当加强人民防空预定的疏散地建设，做好城市疏散人口安置和物资储运、供应的准备工作。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各级教育部门应当将人民防空教育纳入学校教学计划并组织实施。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国家机关、社会团体、企业事业单位人员的人民防空教育，由所在单位列入职工教育计划并组织实施。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乡（镇）人民政府、街道办事处应当在村和社区开展群众性的人民防空教育，并列入村和社区教育计划。</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市、区人民防空主管部门应当加强对人民防空教育的指导和检查。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新闻、出版、广播、电视、文化等部门应当协助开展人民防空教育。</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新建城市民用建筑时应当修建而不修建防空地下室的，由人民防空主管部门对当事人给予警告，责令限期修建。限期内未修建的，按照应建面积和规定的收费标准全额补缴人民防空工程易地建设费，并可以按照应当修建防空地下室建筑面积每平方米三十元的标准处以罚款，罚款数额不得超过十万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违反本条例有下列行为之一的，由人民防空主管部门给予警告，责令改正违法行为，并可以对个人处以五千元以下罚款，对单位处以一万元以上五万元以下罚款；造成损失的，应当依法赔偿：</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（一）不按规定向人民防空主管部门办理人民防空工程竣工验收备案手续的；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（二）不按经审查通过的设计图和施工程序进行人民防空工程施工的；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（三）不按规定办理人民防空工程有关登记的；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（四）毁损人民防空工程标识的；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（五）毁损、丢失、阻挠安装人民防空通信警报设施的。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违反本条例其他有关规定的，按照有关法律、法规处理。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人民防空主管部门的工作人员玩忽职守、滥用职权、徇私舞弊或者有其他违法、失职行为构成犯罪的，依法追究刑事责任；尚不构成犯罪的，依法给予处分。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本条例所称重要经济目标，包括重要的工矿企业、科研基地、国家级开发区、交通枢纽、通信枢纽、桥梁、仓库、储罐、发电厂、电站、水库和供水、供电、供热、供气设施等。</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民用建筑包括除工业生产厂房及其配套设施以外的所有非生产性建筑。</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2004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8</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1"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2022-07-22T08:45:02Z</dcterms:modified>
  <cp:revision>208</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D25017173A774499BCFE3399C85A9BD6</vt:lpwstr>
  </property>
  <property fmtid="{D5CDD505-2E9C-101B-9397-08002B2CF9AE}" pid="3" name="KSOProductBuildVer">
    <vt:lpwstr>2052-11.1.0.11875</vt:lpwstr>
  </property>
</Properties>
</file>