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jc w:val="start"/>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jc w:val="start"/>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湖北省公共文化服务保障条例</w:t>
      </w:r>
    </w:p>
    <w:p>
      <w:pPr>
        <w:pStyle w:val="Normal"/>
        <w:spacing w:lineRule="exact" w:line="589"/>
        <w:jc w:val="center"/>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start"/>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19</w:t>
      </w:r>
      <w:r>
        <w:rPr>
          <w:rFonts w:ascii="楷体_GB2312" w:hAnsi="楷体_GB2312" w:cs="楷体_GB2312" w:hint="eastAsia" w:eastAsia="楷体_GB2312"/>
          <w:spacing w:val="-3"/>
          <w:sz w:val="32"/>
          <w:szCs w:val="32"/>
        </w:rPr>
        <w:t>日湖北省第十三届人民代表大会常务委员会第六次会议通过）</w:t>
      </w:r>
    </w:p>
    <w:p>
      <w:pPr>
        <w:pStyle w:val="Normal"/>
        <w:spacing w:lineRule="exact" w:line="589"/>
        <w:ind w:firstLine="616" w:end="0"/>
        <w:jc w:val="start"/>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jc w:val="start"/>
        <w:rPr>
          <w:rFonts w:ascii="楷体_GB2312" w:hAnsi="楷体_GB2312" w:eastAsia="楷体_GB2312" w:cs="楷体_GB2312" w:hint="eastAsia"/>
          <w:spacing w:val="-3"/>
          <w:sz w:val="32"/>
          <w:szCs w:val="32"/>
        </w:rPr>
      </w:pPr>
      <w:r>
        <w:rPr>
          <w:rFonts w:eastAsia="宋体" w:cs="宋体" w:hint="eastAsia" w:ascii="宋体" w:hAnsi="宋体"/>
          <w:spacing w:val="-3"/>
          <w:sz w:val="32"/>
          <w:szCs w:val="32"/>
        </w:rPr>
        <w:t xml:space="preserve">    </w:t>
      </w:r>
      <w:r>
        <w:rPr>
          <w:rFonts w:ascii="楷体_GB2312" w:hAnsi="楷体_GB2312" w:cs="楷体_GB2312" w:hint="eastAsia" w:eastAsia="楷体_GB2312"/>
          <w:spacing w:val="-3"/>
          <w:sz w:val="32"/>
          <w:szCs w:val="32"/>
        </w:rPr>
        <w:t>第一章</w:t>
      </w:r>
      <w:r>
        <w:rPr>
          <w:rFonts w:ascii="宋体" w:hAnsi="宋体" w:cs="宋体" w:hint="eastAsia"/>
          <w:spacing w:val="-3"/>
          <w:sz w:val="32"/>
          <w:szCs w:val="32"/>
        </w:rPr>
        <w:t xml:space="preserve">  </w:t>
      </w:r>
      <w:r>
        <w:rPr>
          <w:rFonts w:ascii="楷体_GB2312" w:hAnsi="楷体_GB2312" w:cs="楷体_GB2312" w:hint="eastAsia" w:eastAsia="楷体_GB2312"/>
          <w:spacing w:val="-3"/>
          <w:sz w:val="32"/>
          <w:szCs w:val="32"/>
        </w:rPr>
        <w:t>总则</w:t>
      </w:r>
    </w:p>
    <w:p>
      <w:pPr>
        <w:pStyle w:val="Normal"/>
        <w:spacing w:lineRule="exact" w:line="589"/>
        <w:jc w:val="start"/>
        <w:rPr>
          <w:rFonts w:ascii="楷体_GB2312" w:hAnsi="楷体_GB2312" w:eastAsia="楷体_GB2312" w:cs="楷体_GB2312" w:hint="eastAsia"/>
          <w:spacing w:val="-3"/>
          <w:sz w:val="32"/>
          <w:szCs w:val="32"/>
        </w:rPr>
      </w:pPr>
      <w:r>
        <w:rPr>
          <w:rFonts w:eastAsia="宋体" w:cs="宋体" w:hint="eastAsia" w:ascii="宋体" w:hAnsi="宋体"/>
          <w:spacing w:val="-3"/>
          <w:sz w:val="32"/>
          <w:szCs w:val="32"/>
        </w:rPr>
        <w:t xml:space="preserve">    </w:t>
      </w:r>
      <w:r>
        <w:rPr>
          <w:rFonts w:ascii="楷体_GB2312" w:hAnsi="楷体_GB2312" w:cs="楷体_GB2312" w:hint="eastAsia" w:eastAsia="楷体_GB2312"/>
          <w:spacing w:val="-3"/>
          <w:sz w:val="32"/>
          <w:szCs w:val="32"/>
        </w:rPr>
        <w:t>第二章</w:t>
      </w:r>
      <w:r>
        <w:rPr>
          <w:rFonts w:ascii="宋体" w:hAnsi="宋体" w:cs="宋体" w:hint="eastAsia"/>
          <w:spacing w:val="-3"/>
          <w:sz w:val="32"/>
          <w:szCs w:val="32"/>
        </w:rPr>
        <w:t xml:space="preserve">  </w:t>
      </w:r>
      <w:r>
        <w:rPr>
          <w:rFonts w:ascii="楷体_GB2312" w:hAnsi="楷体_GB2312" w:cs="楷体_GB2312" w:hint="eastAsia" w:eastAsia="楷体_GB2312"/>
          <w:spacing w:val="-3"/>
          <w:sz w:val="32"/>
          <w:szCs w:val="32"/>
        </w:rPr>
        <w:t>公共文化设施</w:t>
      </w:r>
    </w:p>
    <w:p>
      <w:pPr>
        <w:pStyle w:val="Normal"/>
        <w:spacing w:lineRule="exact" w:line="589"/>
        <w:jc w:val="start"/>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公共文化产品和活动</w:t>
      </w:r>
    </w:p>
    <w:p>
      <w:pPr>
        <w:pStyle w:val="Normal"/>
        <w:spacing w:lineRule="exact" w:line="589"/>
        <w:jc w:val="start"/>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公共文化服务</w:t>
      </w:r>
    </w:p>
    <w:p>
      <w:pPr>
        <w:pStyle w:val="Normal"/>
        <w:spacing w:lineRule="exact" w:line="589"/>
        <w:jc w:val="start"/>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保障措施</w:t>
      </w:r>
    </w:p>
    <w:p>
      <w:pPr>
        <w:pStyle w:val="Normal"/>
        <w:spacing w:lineRule="exact" w:line="589"/>
        <w:jc w:val="start"/>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法律责任</w:t>
      </w:r>
    </w:p>
    <w:p>
      <w:pPr>
        <w:pStyle w:val="Normal"/>
        <w:spacing w:lineRule="exact" w:line="589"/>
        <w:jc w:val="start"/>
        <w:rPr>
          <w:rFonts w:ascii="仿宋_GB2312" w:hAnsi="仿宋_GB2312" w:eastAsia="仿宋_GB2312" w:cs="仿宋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第七章  附则</w:t>
      </w:r>
    </w:p>
    <w:p>
      <w:pPr>
        <w:pStyle w:val="Normal"/>
        <w:spacing w:lineRule="exact" w:line="589"/>
        <w:jc w:val="start"/>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jc w:val="start"/>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加强公共文化服务体系建设，保障人民群众基本文化权益，传承中华优秀传统文化，弘扬社会主义核心价值观，增强文化自信，促进文化繁荣兴盛，根据《中华人民共和国公共文化服务保障法》等法律、行政法规，结合本省实际，制定本条例。</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本条例适用于本省行政区域内的公共文化服务及其保障活动。</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本条例所称公共文化服务，是指由政府主导、社会力量参与，以满足公民基本文化需求为主要目的而提供的公共文化设施、文化产品、文化活动以及其他相关服务。</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本条例所称公共文化设施，是指用于提供公共文化服务的建筑物、场地和设备。</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公共文化服务应当坚持以人民为中心，面向基层、面向群众，体现公益性、基本性、均等性、便利性。</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县级以上人民政府统一领导本行政区域内的公共文化服务工作，应当将公共文化服务纳入本级国民经济和社会发展规划，加强公共文化设施建设、产品供给和活动组织，完善公共文化服务体系，提高公共文化服务效能。</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县级以上人民政府文化、新闻出版、广播电视、电影、体育等主管部门根据其职责负责本行政区域内的公共文化服务工作；其他有关部门在各自职责范围内做好公共文化服务相关工作。</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工会、共青团、妇联等人民团体和社会组织应当结合工作实际，做好公共文化服务相关工作。</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县级以上人民政府应当建立健全公共文化服务综合协调机制，加强跨部门、跨行业、跨区域公共文化服务资源的整合，统筹推进公共文化服务重大工程实施，创新公共文化服务管理运行机制，实现公共文化服务网络互联互通、资源共建共享。文化主管部门负责综合协调具体工作。</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乡镇人民政府、街道办事处负责乡镇、街道综合文化服务中心和其他公共文化设施的日常管理，组织开展群众性文化体育活动，做好公共文化服务工作。</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村（居）民委员会应当根据村（居）民的需求开展群众性文化体育活动，协助当地人民政府有关部门开展公共文化服务工作。</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县级以上人民政府应当加大对农村地区和革命老区、民族地区、贫困地区公共文化服务工作的扶持，加大对基层公共文化设施建设和服务的投入，促进公共文化服务均衡协调发展。</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各级人民政府应当根据未成年人、老年人、妇女、残疾人和流动人口等群体的特点与需求，提供相应的公共文化服务。</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县级以上人民政府应当建立公共文化服务绩效评估、监督检查机制，将公共文化服务工作纳入政府目标责任考核内容，作为评价地区发展水平、发展质量和领导干部工作实绩的重要内容。</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鼓励、支持公民、法人和其他组织，向公众提供公共文化设施和产品，开展公共文化活动和服务。</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对在公共文化服务中作出突出贡献的公民、法人和其他组织，给予表彰和奖励。</w:t>
      </w:r>
    </w:p>
    <w:p>
      <w:pPr>
        <w:pStyle w:val="Normal"/>
        <w:spacing w:lineRule="exact" w:line="589"/>
        <w:jc w:val="start"/>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公共文化设施</w:t>
      </w:r>
    </w:p>
    <w:p>
      <w:pPr>
        <w:pStyle w:val="Normal"/>
        <w:spacing w:lineRule="exact" w:line="589"/>
        <w:jc w:val="start"/>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省人民政府应当根据国家有关规定，结合经济社会发展水平和公共文化服务事业发展需要，制定全省公共文化设施建设专项规划。</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各级人民政府按照公共文化设施建设专项规划，结合当地实际需求和文化特色，建设公共文化设施。</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公共文化设施的种类、数量、规模、选址和布局，应当优化配置，形成场馆服务、流动服务和数字服务相结合，覆盖全面、便利可及的公共文化设施网络，满足人民群众基本文化需求。</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公共文化设施的设计和建设，应当安全实用、科学美观、环保节约，并符合无障碍设施工程建设等国家相关建设标准。</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各级人民政府应当结合实际，在人员流动量较大的公共场所、务工人员较为集中的区域以及留守妇女儿童较为集中的农村地区，设置配备公共阅览设施、流动图书设施、公共数字文化服务点、体育健身器材等必要的公共文化设施设备，采取多种形式，提供便利的公共文化服务。</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县级以上人民政府自然资源主管部门应当将公共文化设施建设用地纳入土地利用总体规划和城乡规划。</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任何单位和个人不得侵占公共文化设施建设用地或者擅自改变其用途。因特殊情况需要调整公共文化设施建设用地的，应当先确定公共文化设施建设用地，再进行调整。调整后的公共文化设施建设用地不得少于原面积。</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任何单位和个人不得擅自拆除公共文化设施，不得擅自改变公共文化设施的功能、用途或者妨碍其正常运行，不得侵占、挤占、挪用公共文化设施，不得将公共文化设施用于与公共文化服务无关的商业经营活动。</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因公共利益需要，确需拆除公共文化设施或者改变其功能、用途的，应当按照不低于原有建筑面积和配置标准的要求进行重建或者改建。</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新建公共文化设施后，原有场馆能够继续发挥作用的，应当作为公共文化设施予以保留并对公众开放。</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各级人民政府应当加强乡镇（街道）、村（社区</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综合文化服务中心建设，整合文化宣传、科学普及、艺术普及、普法教育、体育健身等功能，推动基层公共文化设施的统一管理和综合利用，保障其发挥服务效能。</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村（居）民委员会负责村（社区）综合文化服务中心和其他公共文化设施的日常管理。</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新建、改建和扩建居民住宅区，其建设、设计、施工单位应当按照国家和省有关居住区规划设计规范标准，将建设配套的公共文化设施纳入建设项目规划，与居民住宅区的主体工程同时设计、同时施工、同时投入使用。任何单位和个人不得擅自改变公共文化设施建设项目及其功能、用途。</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县级以上人民政府建设规划主管部门审查居民住宅区工程建设设计方案时，应当同步审查该居民住宅区公共文化设施的建设设计方案。</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公共文化设施管理单位应当按照国家、省有关规定建立健全管理制度和服务规范，配置和更新必需的服务内容和设备，加强公共文化设施经常性维护管理，保障公共文化设施的正常使用和安全运转。</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公共文化设施管理单位应当开展公共文化设施及公众活动的安全评价，依法配备安全保护设备和人员，保障公共文化设施和公众活动安全。</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公共文化设施管理单位应当编制公共文化服务情况年度报告，并向社会公开。</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县级以上人民政府及相关部门应当加强对公共文化设施管理单位的监督管理，建立有公众参与的公共文化设施使用效能考核评价制度，定期公布考评结果。公共文化设施管理单位根据考评结果改进工作，提高公共文化服务质量和水平。</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鼓励和支持公民、法人和其他组织兴建、捐建或者与政府部门合作建设公共文化设施，依法参与公共文化设施的运营和管理。</w:t>
      </w:r>
    </w:p>
    <w:p>
      <w:pPr>
        <w:pStyle w:val="Normal"/>
        <w:spacing w:lineRule="exact" w:line="589"/>
        <w:jc w:val="start"/>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公共文化产品和活动</w:t>
      </w:r>
    </w:p>
    <w:p>
      <w:pPr>
        <w:pStyle w:val="Normal"/>
        <w:spacing w:lineRule="exact" w:line="589"/>
        <w:jc w:val="start"/>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县级以上人民政府应当加强公共文化产品创作生产规划，支持和引导优秀公共文化产品的创作生产，加强优质公共文化产品的供给，弘扬社会主义核心价值观。</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县级以上人民政府应当积极推动优秀荆楚文化的创造性转化、创新性发展，结合本地特点，支持具有荆楚特色的文化产品生产和文化活动开展。</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县级以上人民政府应当依托国家和省级非物质文化遗产名录项目，创建具有本地特色的文化产品和活动品牌。</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县级以上人民政府及文化、新闻出版、广播电视、电影等主管部门应当发挥文艺创作、生产、演出单位的骨干作用，引导、扶持民间文化团体健康发展，丰富公共文化产品供给。</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鼓励公共文化机构和文化企业挖掘特色资源，加强文化创意产品研发，创新文化产品和服务内容。</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鼓励公民、法人和其他组织提供公共文化产品，满足多样化、多层次的文化需求。</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各级人民政府应当建立健全公共文化产品遴选、采购、推介、供给机制，构建各类优秀文化产品进入公共文化服务平台、载体的便捷通道。</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各级人民政府应当积极组织开展全民阅读、全民普法、全民健身、全民科普、全民艺术普及和优秀传统文化传承及家风培育活动，实施基层特色文化品牌建设项目。</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县级以上人民政府文化、体育等主管部门应当结合实际，在技术、场地、资金等方面对群众性文化体育活动给予支持和帮助，引导群众性文化体育活动健康、规范、有序开展。</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开展群众性文化体育活动，应当自觉维护社会公共秩序，遵守活动场所管理制度，不得影响他人的正常工作、生活和休息。</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各级人民政府应当加强农村地区图书、报刊、戏曲、电影、广播电视节目、网络信息内容、体育健身活动等公共文化产品的生产和供给，培养乡土文化人才、文化能人，支持开展农村群众性文化体育活动和节日民俗活动，重视乡土文化产品发掘，丰富农村公共文化服务内容。</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各级人民政府应当结合革命老区、民族地区的文化特点和发展实际，开发红色文化和民族文化产品，组织有地区特色的公共文化活动，打造有影响力的公共文化品牌。</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积极扶助贫困地区的公共文化建设，加强贫困地区公共文化产品供给和文化活动组织。鼓励、支持文化结对帮扶。</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广播、电视、报刊、网络等新闻媒体应当对重点公共文化产品创作生产和重大公共文化活动品牌进行策划报道、动态跟踪、专题访谈和热点评论，加强优秀公共文化产品和活动的传播推广。</w:t>
      </w:r>
    </w:p>
    <w:p>
      <w:pPr>
        <w:pStyle w:val="Normal"/>
        <w:spacing w:lineRule="exact" w:line="589"/>
        <w:jc w:val="start"/>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公共文化服务</w:t>
      </w:r>
    </w:p>
    <w:p>
      <w:pPr>
        <w:pStyle w:val="Normal"/>
        <w:spacing w:lineRule="exact" w:line="589"/>
        <w:ind w:firstLine="616" w:end="0"/>
        <w:jc w:val="start"/>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各级人民政府及有关部门应当充分利用公共文化设施，促进优秀公共文化产品的创作生产和供给传播，支持优秀公共文化活动的组织开展，创新公共文化服务方式，提高公共文化服务质量。</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公共文化设施应当根据其功能、特点，按照国家和省有关规定，向公众免费或者优惠开放。开放时间应当与公众工作时间、学习时间适当错开，公共假期和学生寒暑假期间应当适当延长开放时间。</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公共文化设施管理单位应当建立服务公示制度，向社会公开服务项目、服务内容、服务标准、开放时间等服务信息。</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鼓励和支持机关、学校和其他企事业单位的文化体育设施向公众开放。机关、学校和其他企事业单位在确保正常工作、教学、生产秩序的前提下，确定并公布向公众开放的文化体育设施、场所和时间。</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各级人民政府应当组织实施农村公共文化服务惠民工程，为农村居民提供免费的书报阅读、广播播送、影视观赏、戏曲表演、互联网上网等公共文化服务。</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县级人民政府应当统筹县、乡、村三级公共文化资源，组织开展面向农村居民的公共文化服务和文明实践活动；乡镇人民政府、村民委员会结合当地实际，依托综合文化服务中心组织开展经常性、多样化的公共文化服务和活动，传播文明理念、培育文明乡风。</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县级人民政府应当按照国家和省有关规定，组织本级图书馆、文化馆在乡镇、村综合文化服务中心建立服务点。</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各级图书馆、文化馆等单位积极推动在基层、其他行业和部门建立服务点，扩大服务范围。</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各级人民政府及文化、新闻出版、广播电视、电影等主管部门应当组织公共文化机构和文化企业在农村、社区、校园、企业、军营等开展经常性的公共文化流动服务，并根据实际情况建立流动服务点，促进优质公共文化资源向基层流动。</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县级以上人民政府应当根据实际需要，为公共文化机构配备流动文化设施，并及时更换。</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省人民政府文化主管部门应当统筹规划公共数字文化建设，建立公共文化服务数字信息网络平台，建设公共文化信息资源库，构建标准统一、互联互通的公共数字文化服务网络。</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市县两级人民政府应当将公共数字文化建设纳入本地区信息化建设规划，加大公共数字文化资源开发利用力度，推动利用宽带互联网、移动互联网、广播电视网和卫星网络提供公共文化服务。</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公共文化设施管理单位应当通过信息化、数字化等技术手段，增强文化信息资源的存储、传输、供给和远程服务等能力。</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网络文化运营商应当提高网络文化产品和服务供给能力，促进优秀传统文化和当代文化精品网络传播，推动网络文化服务健康发展。</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各级人民政府及文化、体育等主管部门可以采取政府购买、项目补贴或者奖励等方式鼓励和支持社会力量提供公共文化服务，推动经营性文化设施、文化企业提供免费或者优惠的公益性文化服务。</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各级人民政府应当建立健全政府向社会力量购买公共文化服务的机制，制定本地区政府向社会力量购买公共文化服务的指导性目录或者具体购买目录，并及时向社会公布。</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鼓励和支持公民、法人和其他组织通过资助项目、赞助活动，提供设施、产品和服务等方式参与公共文化服务。</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经县级以上人民政府批准，对接受捐赠的公共文化设施和公共文化活动可以依法冠名。</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各级人民政府应当建立公共文化志愿服务体系，支持公共文化志愿服务活动。</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文化主管部门应当会同有关部门建立和完善公共文化服务志愿者注册招募、服务记录、管理评价和激励保障机制，加强指导和培训，实现志愿服务与政府服务、市场服务相衔接。</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公共文化设施管理单位应当建立公共文化服务志愿者队伍，组织开展公共文化志愿服务活动。</w:t>
      </w:r>
    </w:p>
    <w:p>
      <w:pPr>
        <w:pStyle w:val="Normal"/>
        <w:spacing w:lineRule="exact" w:line="589"/>
        <w:jc w:val="start"/>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保障措施</w:t>
      </w:r>
    </w:p>
    <w:p>
      <w:pPr>
        <w:pStyle w:val="Normal"/>
        <w:spacing w:lineRule="exact" w:line="589"/>
        <w:ind w:firstLine="616" w:end="0"/>
        <w:jc w:val="start"/>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xml:space="preserve">  省人民政府根据国家基本公共文化服务指导标准，制定公布本省基本公共文化服务实施标准，确定公共文化服务项目和内容、设施和设备、人员配备等指标，并根据经济社会发展和人民群众需求进行动态调整。</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县两级人民政府根据国家基本公共文化服务指导标准和省基本公共文化服务实施标准，制定公布本行政区域的公共文化服务目录并组织实施。公共文化服务目录根据经济社会发展和人民群众需求进行动态调整，有条件的地区可以高于省基本公共文化服务实施标准。</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xml:space="preserve">  县级以上人民政府应当将公共文化服务经费纳入本级财政预算，建立与公共文化服务发展需求相适应的财政投入增长机制，保证本行政区域公共文化服务需要。</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县级以上人民政府可以根据当地经济社会发展水平和公共文化服务发展需求，设立公共文化服务专项资金，主要用于公共文化设施设备配置维护更新、实施公共文化民生工程、人才队伍培养、群众性文化体育活动开展、引导社会力量参与公共文化服务等。</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xml:space="preserve">  县级以上人民政府应当建立健全公共文化服务资金使用的监督和统计公告制度，加强绩效考评，确保资金用于公共文化服务。任何单位和个人不得侵占、挪用公共文化服务资金。</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审计机关应当依法加强对公共文化服务资金的审计监督。</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xml:space="preserve">  县级以上人民政府应当按照国家和省有关规定，根据所承担的职能、任务及所服务的人口规模，采取县聘乡用、派出制等形式，配备乡镇（街道）综合文化服务中心工作人员；在村（社区）综合文化服务中心设立由政府购买的公益文化岗位负责公共文化服务工作。</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xml:space="preserve">  县级以上人民政府及文化、人力资源社会保障等主管部门，应当建立公共文化服务人才引进、培养和激励机制，通过专业培训或者委托培养、招聘选拔、兼职客座、项目合作、挂职交流等方式，加强公共文化服务人才队伍建设。</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加强民营文化企业、民间文化团体的人才队伍建设，对其在学习培训、职称评定、项目申报、表彰奖励等方面与国有文化单位实行同一标准。</w:t>
      </w:r>
    </w:p>
    <w:p>
      <w:pPr>
        <w:pStyle w:val="Normal"/>
        <w:spacing w:lineRule="exact" w:line="589"/>
        <w:jc w:val="start"/>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法律责任</w:t>
      </w:r>
    </w:p>
    <w:p>
      <w:pPr>
        <w:pStyle w:val="Normal"/>
        <w:spacing w:lineRule="exact" w:line="589"/>
        <w:jc w:val="start"/>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xml:space="preserve">  违反本条例，法律、法规有规定的，从其规定。</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xml:space="preserve">  违反本条例规定，国家机关及其工作人员未履行公共文化服务保障职责的，由其上级机关或者主管部门责令限期改正；情节严重的，对直接负责的主管人员和其他直接责任人员依法给予处分。</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xml:space="preserve">  违反本条例规定，公共文化设施管理单位有下列行为之一的，由其主管部门责令限期改正</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情节严重的，对直接负责的主管人员和其他直接责任人员依法给予处分</w:t>
      </w:r>
      <w:r>
        <w:rPr>
          <w:rFonts w:eastAsia="仿宋_GB2312" w:cs="仿宋_GB2312" w:hint="eastAsia" w:ascii="仿宋_GB2312" w:hAnsi="仿宋_GB2312"/>
          <w:spacing w:val="-3"/>
          <w:sz w:val="32"/>
          <w:szCs w:val="32"/>
        </w:rPr>
        <w:t>:</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（一）未按照规定向公众开放的</w:t>
      </w:r>
      <w:r>
        <w:rPr>
          <w:rFonts w:eastAsia="仿宋_GB2312" w:cs="仿宋_GB2312" w:hint="eastAsia" w:ascii="仿宋_GB2312" w:hAnsi="仿宋_GB2312"/>
          <w:spacing w:val="-3"/>
          <w:sz w:val="32"/>
          <w:szCs w:val="32"/>
        </w:rPr>
        <w:t>;</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（二）未向社会公开服务项目、服务内容、服务标准、开放时间等服务信息的；</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（三）未按照规定建立管理制度和服务规范的；</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（四）因管理不善造成损失的；</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（五）未编制公共文化服务情况年度报告，并向社会公开的。</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xml:space="preserve">  违反本条例规定，侵占、挤占、挪用、擅自拆除公共文化设施，或者拆除公共文化设施未按照规定重建的，由其上级机关或者主管部门责令限期改正</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情节严重的，对直接负责的主管人员和其他直接责任人员依法给予处分。</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xml:space="preserve">  违反本条例规定，新建、改建、扩建居民住宅区，未按照规定规划和建设配套公共文化设施的，由建设规划主管部门责令限期改正；情节严重的，由建设规划主管部门依法处理。</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本条例规定，新建、改建、扩建居民住宅区，建设规划主管部门未按照规定同步审查该居民住宅区公共文化设施建设设计方案的，由其上级机关或者主管部门责令限期改正；情节严重的，对直接负责的主管人员和其他直接责任人员依法给予处分。</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第四十九条</w:t>
      </w:r>
      <w:r>
        <w:rPr>
          <w:rFonts w:ascii="仿宋_GB2312" w:hAnsi="仿宋_GB2312" w:cs="仿宋_GB2312" w:hint="eastAsia" w:eastAsia="仿宋_GB2312"/>
          <w:spacing w:val="-3"/>
          <w:sz w:val="32"/>
          <w:szCs w:val="32"/>
        </w:rPr>
        <w:t xml:space="preserve">  违反本条例规定，侵占、挪用公共文化服务资金的，由其上级机关或者主管部门责令限期改正</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情节严重的，对直接负责的主管人员和其他直接责任人员依法给予处分。</w:t>
      </w:r>
    </w:p>
    <w:p>
      <w:pPr>
        <w:pStyle w:val="Normal"/>
        <w:spacing w:lineRule="exact" w:line="589"/>
        <w:jc w:val="start"/>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第七章  附则</w:t>
      </w:r>
    </w:p>
    <w:p>
      <w:pPr>
        <w:pStyle w:val="Normal"/>
        <w:spacing w:lineRule="exact" w:line="589"/>
        <w:jc w:val="start"/>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start"/>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第五十条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2019</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jc w:val="start"/>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start"/>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start"/>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start"/>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start"/>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start"/>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start"/>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start"/>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start"/>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start"/>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start"/>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start"/>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start"/>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start"/>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6"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2018-12-10T10:34:00Z</cp:lastPrinted>
  <dcterms:modified xsi:type="dcterms:W3CDTF">2018-12-18T09:07:17Z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