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bCs/>
          <w:color w:val="000000"/>
          <w:szCs w:val="32"/>
          <w:lang w:val="zh-CN"/>
        </w:rPr>
      </w:pPr>
      <w:r>
        <w:rPr>
          <w:rFonts w:ascii="宋体;SimSun" w:hAnsi="宋体;SimSun"/>
          <w:bCs/>
          <w:color w:val="000000"/>
          <w:szCs w:val="32"/>
          <w:lang w:val="zh-CN"/>
        </w:rPr>
      </w:r>
    </w:p>
    <w:p>
      <w:pPr>
        <w:pStyle w:val="Normal"/>
        <w:widowControl w:val="false"/>
        <w:spacing w:lineRule="exact" w:line="570"/>
        <w:rPr>
          <w:rFonts w:ascii="宋体;SimSun" w:hAnsi="宋体;SimSun" w:eastAsia="宋体;SimSun" w:cs="宋体;SimSun"/>
          <w:bCs/>
          <w:color w:val="000000"/>
          <w:szCs w:val="32"/>
          <w:lang w:val="zh-CN"/>
        </w:rPr>
      </w:pPr>
      <w:r>
        <w:rPr>
          <w:rFonts w:eastAsia="宋体;SimSun" w:cs="宋体;SimSun" w:ascii="宋体;SimSun" w:hAnsi="宋体;SimSun"/>
          <w:bCs/>
          <w:color w:val="000000"/>
          <w:szCs w:val="32"/>
          <w:lang w:val="zh-CN"/>
        </w:rPr>
      </w:r>
    </w:p>
    <w:p>
      <w:pPr>
        <w:pStyle w:val="Normal"/>
        <w:widowControl w:val="false"/>
        <w:spacing w:lineRule="exact" w:line="570"/>
        <w:jc w:val="center"/>
        <w:rPr>
          <w:rFonts w:ascii="宋体;SimSun" w:hAnsi="宋体;SimSun" w:eastAsia="宋体;SimSun" w:cs="宋体;SimSun" w:hint="eastAsia"/>
          <w:bCs/>
          <w:color w:val="000000"/>
          <w:sz w:val="44"/>
          <w:szCs w:val="44"/>
          <w:lang w:val="zh-CN"/>
        </w:rPr>
      </w:pPr>
      <w:r>
        <w:rPr>
          <w:rFonts w:ascii="宋体;SimSun" w:hAnsi="宋体;SimSun" w:cs="宋体;SimSun" w:hint="eastAsia" w:eastAsia="宋体;SimSun"/>
          <w:bCs/>
          <w:color w:val="000000"/>
          <w:sz w:val="44"/>
          <w:szCs w:val="44"/>
          <w:lang w:val="zh-CN"/>
        </w:rPr>
        <w:t>湖北省雷电灾害防御条例</w:t>
      </w:r>
    </w:p>
    <w:p>
      <w:pPr>
        <w:pStyle w:val="Normal"/>
        <w:widowControl w:val="false"/>
        <w:spacing w:lineRule="exact" w:line="570"/>
        <w:ind w:firstLine="500" w:end="0"/>
        <w:jc w:val="center"/>
        <w:rPr>
          <w:rFonts w:ascii="宋体;SimSun" w:hAnsi="宋体;SimSun" w:eastAsia="宋体;SimSun" w:cs="宋体;SimSun" w:hint="eastAsia"/>
          <w:bCs/>
          <w:color w:val="000000"/>
          <w:sz w:val="44"/>
          <w:szCs w:val="32"/>
          <w:lang w:val="zh-CN"/>
        </w:rPr>
      </w:pPr>
      <w:r>
        <w:rPr>
          <w:rFonts w:eastAsia="宋体;SimSun" w:cs="宋体;SimSun" w:hint="eastAsia" w:ascii="宋体;SimSun" w:hAnsi="宋体;SimSun"/>
          <w:bCs/>
          <w:color w:val="000000"/>
          <w:sz w:val="44"/>
          <w:szCs w:val="32"/>
          <w:lang w:val="zh-CN"/>
        </w:rPr>
      </w:r>
    </w:p>
    <w:p>
      <w:pPr>
        <w:pStyle w:val="Normal"/>
        <w:widowControl w:val="false"/>
        <w:spacing w:lineRule="exact" w:line="570"/>
        <w:ind w:start="420" w:end="640"/>
        <w:rPr>
          <w:rFonts w:ascii="楷体_GB2312" w:hAnsi="楷体_GB2312" w:eastAsia="楷体_GB2312" w:cs="楷体_GB2312"/>
          <w:color w:val="000000"/>
          <w:kern w:val="0"/>
          <w:szCs w:val="32"/>
          <w:lang w:val="zh-CN"/>
        </w:rPr>
      </w:pPr>
      <w:r>
        <w:rPr>
          <w:rFonts w:ascii="楷体_GB2312" w:hAnsi="楷体_GB2312" w:cs="楷体_GB2312" w:hint="eastAsia" w:eastAsia="楷体_GB2312"/>
          <w:color w:val="000000"/>
          <w:kern w:val="0"/>
          <w:szCs w:val="32"/>
          <w:lang w:val="zh-CN"/>
        </w:rPr>
        <w:t>（</w:t>
      </w:r>
      <w:r>
        <w:rPr>
          <w:rFonts w:eastAsia="楷体_GB2312" w:cs="楷体_GB2312" w:ascii="楷体_GB2312" w:hAnsi="楷体_GB2312"/>
          <w:color w:val="000000"/>
          <w:kern w:val="0"/>
          <w:szCs w:val="32"/>
          <w:lang w:val="zh-CN"/>
        </w:rPr>
        <w:t>2005</w:t>
      </w:r>
      <w:r>
        <w:rPr>
          <w:rFonts w:ascii="楷体_GB2312" w:hAnsi="楷体_GB2312" w:cs="楷体_GB2312" w:hint="eastAsia" w:eastAsia="楷体_GB2312"/>
          <w:color w:val="000000"/>
          <w:kern w:val="0"/>
          <w:szCs w:val="32"/>
          <w:lang w:val="zh-CN"/>
        </w:rPr>
        <w:t>年</w:t>
      </w:r>
      <w:r>
        <w:rPr>
          <w:rFonts w:eastAsia="楷体_GB2312" w:cs="楷体_GB2312" w:ascii="楷体_GB2312" w:hAnsi="楷体_GB2312"/>
          <w:color w:val="000000"/>
          <w:kern w:val="0"/>
          <w:szCs w:val="32"/>
          <w:lang w:val="zh-CN"/>
        </w:rPr>
        <w:t>5</w:t>
      </w:r>
      <w:r>
        <w:rPr>
          <w:rFonts w:ascii="楷体_GB2312" w:hAnsi="楷体_GB2312" w:cs="楷体_GB2312" w:hint="eastAsia" w:eastAsia="楷体_GB2312"/>
          <w:color w:val="000000"/>
          <w:kern w:val="0"/>
          <w:szCs w:val="32"/>
          <w:lang w:val="zh-CN"/>
        </w:rPr>
        <w:t>月</w:t>
      </w:r>
      <w:r>
        <w:rPr>
          <w:rFonts w:eastAsia="楷体_GB2312" w:cs="楷体_GB2312" w:ascii="楷体_GB2312" w:hAnsi="楷体_GB2312"/>
          <w:color w:val="000000"/>
          <w:kern w:val="0"/>
          <w:szCs w:val="32"/>
          <w:lang w:val="zh-CN"/>
        </w:rPr>
        <w:t>27</w:t>
      </w:r>
      <w:r>
        <w:rPr>
          <w:rFonts w:ascii="楷体_GB2312" w:hAnsi="楷体_GB2312" w:cs="楷体_GB2312" w:hint="eastAsia" w:eastAsia="楷体_GB2312"/>
          <w:color w:val="000000"/>
          <w:kern w:val="0"/>
          <w:szCs w:val="32"/>
          <w:lang w:val="zh-CN"/>
        </w:rPr>
        <w:t>日湖北省第十届人民代表大会常务委员会第十五次会议通过</w:t>
      </w:r>
      <w:r>
        <w:rPr>
          <w:rFonts w:ascii="楷体_GB2312" w:hAnsi="楷体_GB2312" w:cs="楷体_GB2312" w:eastAsia="楷体_GB2312"/>
          <w:color w:val="000000"/>
          <w:kern w:val="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日湖北省第十二届人民代表大会常务委员会第三十一次会议《关于集中修改、废止部分省本级地方性法规的决定》修正</w:t>
      </w:r>
      <w:r>
        <w:rPr>
          <w:rFonts w:ascii="楷体_GB2312" w:hAnsi="楷体_GB2312" w:cs="楷体_GB2312" w:hint="eastAsia" w:eastAsia="楷体_GB2312"/>
          <w:color w:val="000000"/>
          <w:kern w:val="0"/>
          <w:szCs w:val="32"/>
          <w:lang w:val="zh-CN"/>
        </w:rPr>
        <w:t>）</w:t>
      </w:r>
    </w:p>
    <w:p>
      <w:pPr>
        <w:pStyle w:val="Normal"/>
        <w:widowControl w:val="false"/>
        <w:spacing w:lineRule="exact" w:line="570"/>
        <w:rPr>
          <w:rFonts w:ascii="宋体;SimSun" w:hAnsi="宋体;SimSun" w:eastAsia="楷体_GB2312" w:cs="楷体_GB2312"/>
          <w:bCs/>
          <w:color w:val="000000"/>
          <w:kern w:val="0"/>
          <w:szCs w:val="32"/>
          <w:lang w:val="zh-CN"/>
        </w:rPr>
      </w:pPr>
      <w:r>
        <w:rPr>
          <w:rFonts w:eastAsia="楷体_GB2312" w:cs="楷体_GB2312" w:ascii="宋体;SimSun" w:hAnsi="宋体;SimSun"/>
          <w:bCs/>
          <w:color w:val="000000"/>
          <w:kern w:val="0"/>
          <w:szCs w:val="32"/>
          <w:lang w:val="zh-CN"/>
        </w:rPr>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为了防御雷电灾害，保护公民的人身、财产安全和社会公共安全，促进经济建设和社会发展，根据《中华人民共和国气象法》和有关法律、法规，结合本省实际，制定本条例。</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本省行政区域内防御雷电灾害及其相关活动，适用本条例。</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本条例所称雷电灾害防御（以下简称防雷），是指对雷电灾害进行研究、监测、预警预报、防雷知识宣传教育，以及采用防雷装置，避免或者减轻雷电灾害的活动。</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县级以上气象主管机构负责本行政区域内防雷管理工作。未设气象主管机构的县（市、区）的防雷管理工作，由上一级气象主管机构负责。</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建设、规划、公安消防、工商行政管理、安全生产监督、质量技术监督等部门按照各自职责，协同做好有关防雷工作。</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防雷工作坚持安全第一、预防为主、防治结合原则。</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第五条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县级以上人民政府应当加强对防雷工作的领导，将防雷工作纳入当地经济和社会发展计划，制定并及时组织实施防雷应急预案和农村雷电灾害多发区的防雷措施，提高防雷能力。</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鼓励开展防雷科学技术和防雷新产品的研究、开发和推广应用，提高防雷技术水平。对在防雷工作中做出突出贡献的单位和个人，各级人民政府或者气象主管机构应当给予表彰和奖励。</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第七条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气象主管机构应当加强防雷科普教育的组织管理工作，利用各种形式和渠道定期开展公益性防雷知识宣传，增强公民的防雷意识。有关部门和新闻单位应当予以支持、配合。</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机关、企业、事业单位、群众性自治组织和社区，应当结合实际，做好本单位、本地方群众性的防雷知识宣传教育。</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第八条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气象主管机构应当组织对防雷技术和雷电监测预警系统的研究和开发，建立并完善雷电灾害监测、预警系统和工作规范，组织城乡雷电灾害调查、鉴定和评估，提高雷电灾害预警和防雷减灾服务能力。</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气象主管机构所属的气象台站应当开展雷电监测，及时向社会发布雷电预警预报。其他任何单位和个人不得向社会发布雷电预警预报。</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第九条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下列建（构）筑物、场所或者设施必须安装符合技术规范要求的防雷装置：</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（一）建筑物防雷设计规范规定的一、二、三类防雷建（构）筑物；</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（二）重要的计算机设备和网络系统、电力、通信、广播电视设施，重要的导航场所和设施；</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（三）易燃、易爆物品和化学危险物品的生产、储存设施和场所；</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（四）重要储备物资的库储场所；</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（五）法律、法规和规章规定应当安装防雷装置的其他场所和设施。</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前款规定范围以外的场所和设施，根据防雷安全的需要，可以安装防雷装置。</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必须安装防雷装置的新建、扩建、改建的建（构）筑物、场所和设施，建设单位应当将防雷装置的建设纳入计划，与主体工程或者整体项目同时设计、同时施工、同时投入使用。</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从事防雷装置检测的企业和单位，必须具备相应的资质条件，并依照国家规定的资质认定权限取得省级以上气象主管机构颁发的资质证。禁止无资质或者超出资质范围承接防雷装置检测。</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防雷工程专业设计、施工、防雷装置检测必须执行国家防雷标准和技术规范。</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依法必须安装防雷装置的，建设单位应当按照国家规定，将防雷设计文件和相关材料报送当地气象主管机构审核。气象主管机构应当依法出具审核意见。</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未经设计审核或者审核不合格的，建设单位不得开工建设。</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变更和修改防雷设计方案，应当重新报审。</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气象主管机构应当按照国家有关规定受理防雷装置设计审核申请，并自受理申请之日起十个工作日内完成审核。</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防雷工程的建设单位应当按照审核同意的设计方案进行施工，并根据施工进度，选择具有相应资质的防雷检测机构进行跟踪检测。防雷检测机构应当对隐蔽工程逐项检测，并对检测报告负责。检测报告作为竣工验收的技术依据。</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第十五条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依法必须安装的防雷装置竣工后，建设单位应当依照规定向当地气象主管机构申请验收。其中新建、改建、扩建的建筑工程竣工验收时，建设单位申请当地气象主管机构对其防雷装置同时进行验收。未经验收或者验收不合格的，建设单位不得投入使用。</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气象主管机构应当在受理验收申请之日起五个工作日内依法完成验收工作，出具验收结论，并建立验收档案。</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防雷装置实行定期检测制度。依法必须安装的防雷装置每年检测一次，其中易燃、易爆物品和化学危险物品的生产、储存设施和场所的防雷装置每半年检测一次。</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第十七条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防雷检测机构应当在资质核定的范围内进行检测，并对检测报告负责。在检测中发现雷电灾害事故隐患的，应当及时通知委托单位，并向气象主管机构报告。</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第十八条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防雷装置使用单位应当定期委托防雷检测机构进行检测，做好防雷装置的日常维护，发现事故隐患应当及时采取措施修复或者更换。任何单位和个人不得损毁或者随意变动防雷装置。</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第十九条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防雷产品应当符合国家质量标准，并具有产品合格证书和使用说明书。</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禁止生产、销售不符合国家强制性标准或者国家明令淘汰的防雷产品。</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遭受雷电灾害损失的单位和个人，应当及时向当地气象主管机构报告，并协助当地气象主管机构对雷电灾害情况的调查和鉴定。气象主管机构应当按照规定向当地人民政府和上级气象主管机构及时报告雷电灾情。</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气象主管机构及其工作人员有下列行为之一的，由主管机构责令改正，并可对直接负责的主管人员或者直接责任人员给予行政处分；触犯法律的，依法承担相应的法律责任：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（一）违反规定发放防雷装置检测资质证书的；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（二）违反法定程序和技术规范对防雷装置设计进行审核的；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（三）违反法定程序和技术规范对防雷装置进行竣工验收的；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（四）有其他徇私舞弊、玩忽职守、滥用职权行为的。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违反本条例规定，有下列行为之一的，由县级以上气象主管机构按照权限责令限期改正，给予警告；逾期仍不改正的，可处</w:t>
      </w:r>
      <w:r>
        <w:rPr>
          <w:rFonts w:cs="仿宋_GB2312" w:ascii="仿宋_GB2312" w:hAnsi="仿宋_GB2312"/>
          <w:bCs/>
          <w:color w:val="000000"/>
          <w:szCs w:val="32"/>
          <w:lang w:val="zh-CN"/>
        </w:rPr>
        <w:t>1</w:t>
      </w:r>
      <w:r>
        <w:rPr>
          <w:rFonts w:ascii="仿宋_GB2312" w:hAnsi="仿宋_GB2312" w:cs="仿宋_GB2312" w:hint="eastAsia"/>
          <w:bCs/>
          <w:color w:val="000000"/>
          <w:szCs w:val="32"/>
          <w:lang w:val="zh-CN"/>
        </w:rPr>
        <w:t>千元以上</w:t>
      </w:r>
      <w:r>
        <w:rPr>
          <w:rFonts w:cs="仿宋_GB2312" w:ascii="仿宋_GB2312" w:hAnsi="仿宋_GB2312"/>
          <w:bCs/>
          <w:color w:val="000000"/>
          <w:szCs w:val="32"/>
          <w:lang w:val="zh-CN"/>
        </w:rPr>
        <w:t>3</w:t>
      </w:r>
      <w:r>
        <w:rPr>
          <w:rFonts w:ascii="仿宋_GB2312" w:hAnsi="仿宋_GB2312" w:cs="仿宋_GB2312" w:hint="eastAsia"/>
          <w:bCs/>
          <w:color w:val="000000"/>
          <w:szCs w:val="32"/>
          <w:lang w:val="zh-CN"/>
        </w:rPr>
        <w:t>万元以下的罚款；给他人造成损失的，依法承担赔偿责任：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（一）依法必须安装防雷装置而未安装的；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（二）防雷装置设计未经审核或者审核不合格擅自施工的；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（三）防雷装置竣工后未经验收或者验收不合格投入使用的；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（四）拒绝接受法定防雷检测机构对防雷装置依法实施的检测，或者擅自变动、损毁防雷装置的。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违反本条例规定，未取得防雷装置检测资质以及超出资质范围开展业务的，由县级以上气象主管机构责令停止违法行为，没收违法所得，并可处</w:t>
      </w:r>
      <w:r>
        <w:rPr>
          <w:rFonts w:cs="仿宋_GB2312" w:ascii="仿宋_GB2312" w:hAnsi="仿宋_GB2312"/>
          <w:bCs/>
          <w:color w:val="000000"/>
          <w:szCs w:val="32"/>
          <w:lang w:val="zh-CN"/>
        </w:rPr>
        <w:t>1</w:t>
      </w:r>
      <w:r>
        <w:rPr>
          <w:rFonts w:ascii="仿宋_GB2312" w:hAnsi="仿宋_GB2312" w:cs="仿宋_GB2312" w:hint="eastAsia"/>
          <w:bCs/>
          <w:color w:val="000000"/>
          <w:szCs w:val="32"/>
          <w:lang w:val="zh-CN"/>
        </w:rPr>
        <w:t>千元以上</w:t>
      </w:r>
      <w:r>
        <w:rPr>
          <w:rFonts w:cs="仿宋_GB2312" w:ascii="仿宋_GB2312" w:hAnsi="仿宋_GB2312"/>
          <w:bCs/>
          <w:color w:val="000000"/>
          <w:szCs w:val="32"/>
          <w:lang w:val="zh-CN"/>
        </w:rPr>
        <w:t>1</w:t>
      </w:r>
      <w:r>
        <w:rPr>
          <w:rFonts w:ascii="仿宋_GB2312" w:hAnsi="仿宋_GB2312" w:cs="仿宋_GB2312" w:hint="eastAsia"/>
          <w:bCs/>
          <w:color w:val="000000"/>
          <w:szCs w:val="32"/>
          <w:lang w:val="zh-CN"/>
        </w:rPr>
        <w:t>万元以下的罚款；给他人造成损失的，依法承担赔偿责任。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从事防雷装置检测的单位，出具虚假检测报告的，由县级以上气象主管机构责令改正，给予警告；拒不改正的，撤销其防雷装置检测资质；给他人造成损失的，依法承担赔偿责任。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第二十五条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对违反本条例的行为，法律、行政法规已有处罚规定的，从其规定。</w:t>
      </w:r>
    </w:p>
    <w:p>
      <w:pPr>
        <w:pStyle w:val="Normal"/>
        <w:widowControl w:val="false"/>
        <w:spacing w:lineRule="exact" w:line="570"/>
        <w:rPr>
          <w:bCs/>
          <w:szCs w:val="32"/>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本条例自</w:t>
      </w:r>
      <w:r>
        <w:rPr>
          <w:rFonts w:cs="仿宋_GB2312" w:ascii="仿宋_GB2312" w:hAnsi="仿宋_GB2312"/>
          <w:bCs/>
          <w:color w:val="000000"/>
          <w:szCs w:val="32"/>
          <w:lang w:val="zh-CN"/>
        </w:rPr>
        <w:t>2005</w:t>
      </w:r>
      <w:r>
        <w:rPr>
          <w:rFonts w:ascii="仿宋_GB2312" w:hAnsi="仿宋_GB2312" w:cs="仿宋_GB2312" w:hint="eastAsia"/>
          <w:bCs/>
          <w:color w:val="000000"/>
          <w:szCs w:val="32"/>
          <w:lang w:val="zh-CN"/>
        </w:rPr>
        <w:t>年</w:t>
      </w:r>
      <w:r>
        <w:rPr>
          <w:rFonts w:cs="仿宋_GB2312" w:ascii="仿宋_GB2312" w:hAnsi="仿宋_GB2312"/>
          <w:bCs/>
          <w:color w:val="000000"/>
          <w:szCs w:val="32"/>
          <w:lang w:val="zh-CN"/>
        </w:rPr>
        <w:t>8</w:t>
      </w:r>
      <w:r>
        <w:rPr>
          <w:rFonts w:ascii="仿宋_GB2312" w:hAnsi="仿宋_GB2312" w:cs="仿宋_GB2312" w:hint="eastAsia"/>
          <w:bCs/>
          <w:color w:val="000000"/>
          <w:szCs w:val="32"/>
          <w:lang w:val="zh-CN"/>
        </w:rPr>
        <w:t>月</w:t>
      </w:r>
      <w:r>
        <w:rPr>
          <w:rFonts w:cs="仿宋_GB2312" w:ascii="仿宋_GB2312" w:hAnsi="仿宋_GB2312"/>
          <w:bCs/>
          <w:color w:val="000000"/>
          <w:szCs w:val="32"/>
          <w:lang w:val="zh-CN"/>
        </w:rPr>
        <w:t>1</w:t>
      </w:r>
      <w:r>
        <w:rPr>
          <w:rFonts w:ascii="仿宋_GB2312" w:hAnsi="仿宋_GB2312" w:cs="仿宋_GB2312" w:hint="eastAsia"/>
          <w:bCs/>
          <w:color w:val="000000"/>
          <w:szCs w:val="32"/>
          <w:lang w:val="zh-CN"/>
        </w:rPr>
        <w:t>日起施行。</w:t>
      </w:r>
    </w:p>
    <w:p>
      <w:pPr>
        <w:pStyle w:val="Normal"/>
        <w:rPr>
          <w:bCs/>
          <w:szCs w:val="32"/>
        </w:rPr>
      </w:pPr>
      <w:r>
        <w:rPr>
          <w:bCs/>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5</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2017-12-28T20:57:00Z</dcterms:created>
  <dc:creator>匿名用户</dc:creator>
  <dc:description/>
  <cp:keywords/>
  <dc:language>en-US</dc:language>
  <cp:lastModifiedBy>Byron Jack</cp:lastModifiedBy>
  <cp:lastPrinted>2017-12-26T14:41:00Z</cp:lastPrinted>
  <dcterms:modified xsi:type="dcterms:W3CDTF">2017-12-28T20:57:00Z</dcterms:modified>
  <cp:revision>2</cp:revision>
  <dc:subject/>
  <dc:title>湖北省劳动力市场管理条例</dc:title>
</cp:coreProperties>
</file>