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黄石市饮用水水源地保护条例</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 xml:space="preserve">日黄石市第十四届人民代表大会常务委员会第十四次会议通过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日湖北省第十三届人民代表大会常务委员会第六次会议批准）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第二章  饮用水水源地的确定和保护区的划定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第三章  饮用水水源地的保护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第四章  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 xml:space="preserve">为了加强饮用水水源地保护，保障饮用水安全，根据《中华人民共和国水污染防治法》《中华人民共和国水法》《湖北省水污染防治条例》《湖北省城镇供水条例》等法律法规，结合本市实际，制定本条例。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本市行政区域内地表水饮用水水源地的确定、保护和监督管理，适用本条例。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地下水饮用水水源地的确定、保护和监督管理依照有关法律法规执行。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法律、法规有规定的，从其规定。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本条例所称饮用水水源地（包括现有、备用和规划的饮用水水源地）是指本市行政区域内，通过输配水管网集中提供城乡生活用水的取水水域和相关的陆域。</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饮用水水源地保护应当遵循属地管理、保护优先、科学规划、综合治理、确保安全的原则。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市、县（市、区）人民政府（含黄石经济技术开发区管委会，下同）负责本辖区内的饮用水水源地保护工作，将饮用水水源地保护纳入国民经济和社会发展规划，推动城乡供水一体化，建设应急或者备用水源，建立部门联动、重大事项协调以及应急预警、生态补偿等机制，并将饮用水水源地保护工作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乡镇人民政府、街道办事处等应当依法做好本辖区内饮用水水源地保护工作，组织指导村（居）民委员会开展饮用水水源地保护巡查及宣传教育等工作。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市、县（市、区）人民政府环境保护主管部门对饮用水水源地污染防治实施统一监督管理。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市、县（市、区）人民政府水行政主管部门对饮用水水资源实施统一监督管理。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发展改革、城乡建设、卫生、旅游、公安、财政、国土资源、交通运输、渔业、农业（畜牧）、林业、城乡规划、城市管理、海事等部门依法按照各自职责，开展饮用水水源地保护工作。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市、县（市、区）人民政府及其有关部门应当组织开展饮用水水源地保护宣传教育。新闻媒体应当积极开展饮用水水源地保护公益宣传，并进行舆论监督。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市、县（市、区）人民政府应当组织开展饮用水水源地保护的科学技术研究，推广使用先进的饮用水水源地保护实用技术。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任何单位和个人都有保护饮用水水源地的义务，并有权劝阻、举报危害饮用水水源地的行为。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对保护饮用水水源地有突出贡献的单位和个人，由市、县（市、区）人民政府给予奖励。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饮用水水源地的确定和保护区的划定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饮用水水源地的确定应当与国家、省有关水功能区划和水环境功能区划相衔接，符合国家、省有关水质、水量标准和规范要求。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spacing w:val="-3"/>
          <w:sz w:val="32"/>
          <w:szCs w:val="32"/>
        </w:rPr>
      </w:pPr>
      <w:r>
        <w:rPr>
          <w:rFonts w:ascii="仿宋_GB2312" w:hAnsi="仿宋_GB2312" w:cs="仿宋_GB2312" w:hint="eastAsia" w:eastAsia="仿宋_GB2312"/>
          <w:spacing w:val="-3"/>
          <w:sz w:val="32"/>
          <w:szCs w:val="32"/>
        </w:rPr>
        <w:t>环境保护主管部门应当会同水行政主管部门根据饮用水水源地保护的需要及时调整水功能区划。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市、县（市、区）人民政府应当规划建设备用饮用水水源，保障应急状态下的饮用水供应。</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市、县（市、区）人民政府水行政主管部门应当会同环境保护等相关部门拟定饮用水水源地名录或者调整名录，经市人民政府同意后公布，并报市人民代表大会常务委员会和上级水行政主管部门备案。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饮用水水源地应当按照国家有关技术规范划定饮用水水源保护区。饮用水水源保护区分为一级保护区和二级保护区；饮用水水源保护区外围可以划定一定的区域作为准保护区。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市级饮用水水源保护区的划定，由市人民政府环境保护主管部门会同水行政、城乡建设等相关部门拟定方案，征求所在地县（市、区）人民政府意见后，经市人民政府同意，报省人民政府批准。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其他饮用水水源保护区的划定，由县（市、区）人民政府环境保护主管部门、水行政主管部门根据各自职责，会同城乡建设等相关部门拟定方案，征求所在地乡镇人民政府、街道办事处等意见后，由县（市、区）人民政府审定，经市人民政府同意，报省人民政府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spacing w:val="-3"/>
          <w:sz w:val="32"/>
          <w:szCs w:val="32"/>
        </w:rPr>
      </w:pPr>
      <w:r>
        <w:rPr>
          <w:rFonts w:ascii="仿宋_GB2312" w:hAnsi="仿宋_GB2312" w:cs="仿宋_GB2312" w:hint="eastAsia" w:eastAsia="仿宋_GB2312"/>
          <w:spacing w:val="-3"/>
          <w:sz w:val="32"/>
          <w:szCs w:val="32"/>
        </w:rPr>
        <w:t>经批准的饮用水水源保护区由市人民政府向社会公布。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饮用水水源保护区、准保护区一经划定，不得擅自调整。确因公共利益、自然环境发生变化等需要调整的，由原提出划定方案的人民政府对调整的必要性和可行性组织论证，并按照本条例第十四条的规定执行。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饮用水水源地的保护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市、县（市、区）人民政府应当加强饮用水水源地规范化建设，按照国家、省有关标准和规范在饮用水水源保护区的边界设立明确的地理界标、护栏围网和明显的警示标志等隔离防护设施，设置视频监控和宣传牌，并加强维护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任何单位和个人不得损毁、擅自移动饮用水水源保护区地理界标、护栏围网、警示标志、视频监控和宣传牌。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在饮用水水源准保护区内，禁止下列行为：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（一）新建、扩建冶炼、化工、制药、电镀、电子制造、纺织等对水体污染严重的建设项目或者改建建设项目增加排污量；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（二）向水体排放、倾倒工业废渣、垃圾、粪便或者其他污染物；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（三）矿物洗选；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（四）破坏水源涵养林、护岸林、与水源保护相关的其他植被或者破坏水环境生态平衡；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（五）围栏、围网（箱）、投肥（粪、饵）、投药养殖或者养殖珍珠；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（六）清洗装贮过油类或者有毒有害污染物的车辆、容器；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（七）使用剧毒、高毒、高残留农药（含除草剂）或者滥用化肥；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（八）使用炸鱼、毒鱼、电鱼等破坏渔业资源方法捕捞鱼类；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运输有毒有害物质、油类、粪便的船舶和车辆不得进入饮用水水源准保护区；确需进入的，应当事先申请，经有关部门批准、登记，并设置防渗、防溢、防漏设施。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已经建成的对水体污染严重的建设项目，由市、县（市、区）人民政府依法限期拆除或者关闭。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在饮用水水源二级保护区内，禁止下列行为：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（一）设置排污口；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（二）新建、改建、扩建排放污染物的建设项目；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（三）堆放、贮存、填埋工业废渣、垃圾、粪便或者其他污染物；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（四）设立装卸垃圾、粪便、油类或者有毒有害物品等的码头；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（五）取土、采砂或者矿产勘查、开采；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（六）使用农药；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（七）建设畜禽养殖场、养殖小区；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（八）建造墓地；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（九）丢弃、掩埋动物尸体；</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（十）未按照规定采取保证水体免受污染的防护性措施，从事餐饮、娱乐、旅游等活动；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（十一）本条例第十七条禁止的行为和法律法规禁止的其他行为。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已经设置的排污口，建成的排放污染物的建设项目和畜禽养殖场、养殖小区，由市、县（市、区）人民政府依法限期拆除或者关闭。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在饮用水水源一级保护区内，禁止下列行为：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（一）新建、改建、扩建与供水设施、保护水源无关的建设项目；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（二）设置与供水需要无关的码头，停靠与保护水源无关的船舶；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（三）设置油库；</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（四）放养畜禽或者种植农作物、经济林；</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（五）从事餐饮、娱乐、旅游、游泳、垂钓或者其他可能污染水体的活动；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（六）本条例第十八条禁止的行为和法律法规禁止的其他行为。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已经建成的与供水设施、保护水源无关的建设项目，由市、县（市、区）人民政府责令拆除或者关闭。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市、县（市、区）人民政府应当加强饮用水水源地环境综合整治，完善垃圾处理设施，推进垃圾集中处理。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环境保护主管部门、农业（畜牧）主管部门应当加强饮用水水源地的农业面源污染防治，监督管理农业种植、畜禽养殖等行为，依法管理农药、化肥等农业投入品的使用，发展生态农业。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林业主管部门应当加强饮用水水源地的水源涵养林、护岸林的管理，保护地被植物，并对林业生产的化肥农药使用加强监督管理。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交通运输主管部门、海事管理机构应当按照各自职责做好饮用水水源地港口、船舶的水污染防治和航运污染事故的防范以及应急处置工作。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对穿越饮用水水源保护区的道路和桥梁，交通运输主管部门或者公安机关应当按照各自职责设置警示标志、视频监控设施，建设隔离防护和事故应急处理设施。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公安机关指定剧毒化学品运输车辆线路时，应当避开饮用水水源保护区；确实无法避开的，应当及时报告所在地县（市、区）人民政府，有关部门应当按照相关规定采取相应的安全防护措施。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市、县（市、区）人民政府应当定期组织环境保护、水行政等部门，对饮用水水源地日常巡查情况进行监督检查。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江河（湖泊、水库）管理机构应当建立巡查制度，负责水源地取水工程设施的保护和管理，制止危害水源、毁坏取水工程设施的行为。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单位应当对饮用水水源地的取水口进行日常巡查，并进行实时视频监控，发现异常情况应当及时采取有效措施，并立即向所在地县（市、区）人民政府供水主管部门报告。供水主管部门接到报告后，应当通报本级环境保护、卫生、水行政等部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村（居）民委员会发现饮用水水源地异常情况的，应当及时妥善处置，并立即向乡镇人民政府、街道办事处等报告。乡镇人民政府、街道办事处等应当每季度向县（市、区）人民政府报告饮用水水源地巡查总体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 xml:space="preserve">市、县（市、区）人民政府应当建立饮用水水源地信息共享平台，实现信息交换和资源共享。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市、县（市、区）人民政府环境保护主管部门负责饮用水水源地的水环境质量监测，定期发布水环境质量信息。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市、县（市、区）人民政府环境保护主管部门发现水质未达标时，应当及时向本级人民政府报告。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市、县（市、区）人民政府应当组织编制饮用水水源污染事故处理应急预案，建立专业应急救援队伍，配备应急救援设施设备，并定期开展应急演练。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在发生或者可能发生饮用水水源突发事件时，有关单位和个人应当立即采取妥善处理措施，并向市、县（市、区）人民政府及有关部门报告。市、县（市、区）人民政府应当启动相应的应急预案。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发生饮用水水源污染事故导致供水中断的，市、县（市、区）人民政府应当及时向受影响地区发布饮用水水源污染事故警报，并采取有效措施保障饮用水供应。</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跨行政区域之间饮用水水源地的保护工作由地方人民政府协商解决；协商不成的，提请共同的上一级人民政府决定。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spacing w:val="-3"/>
          <w:sz w:val="32"/>
          <w:szCs w:val="32"/>
        </w:rPr>
      </w:pPr>
      <w:r>
        <w:rPr>
          <w:rFonts w:ascii="仿宋_GB2312" w:hAnsi="仿宋_GB2312" w:cs="仿宋_GB2312" w:hint="eastAsia" w:eastAsia="仿宋_GB2312"/>
          <w:spacing w:val="-3"/>
          <w:sz w:val="32"/>
          <w:szCs w:val="32"/>
        </w:rPr>
        <w:t>环境保护主管部门应当加强对跨行政区域饮用水水源的水质监测，建立重点流域跨界断面饮用水水质保护机制。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市、县（市、区）人民政府应当将饮用水水源地保护纳入生态文明建设目标评价考核体系。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各级河湖长应当在职责范围内做好饮用水水源地保护工作。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市、县（市、区）人民政府应当制定饮用水水源地保护补偿办法，合理确定生态补偿范围、标准等。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因划定或者调整饮用水水源保护区、准保护区，给自然人、法人和非法人组织造成损失的，由提出划定方案或者调整方案的人民政府依法予以补偿。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违反本条例第十六条第二款规定，损毁、擅自移动饮用水水源保护区地理界标、护栏围网、警示标志、视频监控和宣传牌的，由环境保护主管部门责令停止违法行为，恢复原状；情节严重的，处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违反本条例规定，在饮用水水源准保护区和一级、二级保护区有下列行为的，按照下列规定处理：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（一）新建、扩建冶炼、化工、制药、电镀、电子制造、纺织等对水体污染严重的建设项目或者改建建设项目增加排污量的，由环境保护主管部门责令停止违法行为，处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万元以下罚款；并报经有批准权的人民政府批准，责令拆除或者关闭；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（二）向水体排放、倾倒工业废渣、垃圾、粪便或者其他污染物的，由环境保护主管部门责令停止违法行为，限期采取治理措施，消除污染，处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万元以下罚款；逾期不采取治理措施的，环境保护主管部门可以指定有治理能力的单位代为治理，所需费用由违法行为人承担；</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（三）从事矿物洗选的，由环境保护主管部门会同有关部门责令停止违法行为，依法没收违法所得，处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（四）破坏水源涵养林、护岸林、与水源保护相关的其他植被的，由林业主管部门责令停止违法行为，依法赔偿损失，补种毁坏株数</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倍以下的树木，可以处毁坏涵养林、护岸林、植被价值</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倍以下罚款；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（五）围栏、围网（箱）养殖的，由渔业主管部门责令限期拆除，没收违法所得；逾期不拆除的，由渔业主管部门依法确定有关单位代为拆除，所需费用由违法行为人承担，并处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万元以下罚款。实施投肥（粪、饵）、投药养殖污染水体的，由环境保护主管部门责令停止违法行为，没收违法所得，并处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万元以下罚款；经处罚后，再次投肥（粪、饵）、投药养殖的，处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万元以下罚款，由发证机关依法吊销相关证照。养殖珍珠的，由渔业主管部门责令停止违法行为，没收违法所得，并处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（六）使用剧毒、高毒、高残留农药（含除草剂）或者滥用化肥的，由农业主管部门责令改正，使用者为单位的，处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万元以下罚款；使用者为个人的，处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违反本条例规定，在饮用水水源一级、二级保护区内有下列行为的，按照下列规定处理：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（一）堆放、贮存、填埋工业废渣、垃圾、粪便或者其他污染物的，由环境保护主管部门责令停止违法行为，限期采取治理措施，消除污染，处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万元以下罚款；逾期不采取治理措施的，环境保护主管部门可以指定有治理能力的单位代为治理，所需费用由违法行为人承担；</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（二）设立装卸垃圾、粪便、油类或者有毒有害物品等的码头的，由交通运输主管部门责令限期改正，处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（三）从事取土、采砂或者矿产勘查、开采活动的，由国土资源主管部门责令停止违法行为、赔偿损失，没收采出的产品和违法所得，可以并处违法所得</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（四）建造墓地的，由民政部门责令限期改正；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（五）丢弃、掩埋动物尸体的，由动物卫生监督机构责令违法行为人进行无害化处理，并处</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3000</w:t>
      </w:r>
      <w:r>
        <w:rPr>
          <w:rFonts w:ascii="仿宋_GB2312" w:hAnsi="仿宋_GB2312" w:cs="仿宋_GB2312" w:hint="eastAsia" w:eastAsia="仿宋_GB2312"/>
          <w:spacing w:val="-3"/>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未按照规定采取防护性措施，在饮用水水源二级保护区内从事餐饮、娱乐或者组织进行旅游活动的，由环境保护主管部门责令停止违法行为，处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第三十四条  </w:t>
      </w:r>
      <w:r>
        <w:rPr>
          <w:rFonts w:ascii="仿宋_GB2312" w:hAnsi="仿宋_GB2312" w:cs="仿宋_GB2312" w:hint="eastAsia" w:eastAsia="仿宋_GB2312"/>
          <w:spacing w:val="-3"/>
          <w:sz w:val="32"/>
          <w:szCs w:val="32"/>
        </w:rPr>
        <w:t>违反本条例规定，在饮用水水源一级保护区有下列行为的，按照下列规定处理：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（一）设置与供水需要无关的码头或者设置油库的，由环境保护主管部门责令停止违法行为，处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（二）停靠与保护水源无关的船舶的，由海事管理机构责令其立即驶离，处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（三）放养畜禽的，由农业主管部门责令停止违法行为，处</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元以下罚款。种植农作物、经济林的，由农业、林业主管部门按照各自职责责令停止违法行为，采取退耕、恢复植被等补救措施；按照开垦或者开发面积，可以对个人处每平方米</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元以下罚款、对单位处每平方米</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（四）从事餐饮、娱乐或者组织进行旅游、游泳、垂钓或者其他可能污染水体的活动的，由环境保护主管部门责令停止违法行为，处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万元以下罚款；个人游泳、垂钓或者从事其他可能污染饮用水水体的活动的，由环境保护主管部门责令停止违法行为，可以处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第三十五条  </w:t>
      </w:r>
      <w:r>
        <w:rPr>
          <w:rFonts w:ascii="仿宋_GB2312" w:hAnsi="仿宋_GB2312" w:cs="仿宋_GB2312" w:hint="eastAsia" w:eastAsia="仿宋_GB2312"/>
          <w:spacing w:val="-3"/>
          <w:sz w:val="32"/>
          <w:szCs w:val="32"/>
        </w:rPr>
        <w:t>国家机关及其工作人员违反本条例规定，在饮用水水源地保护工作中玩忽职守、滥用职权、徇私舞弊的，依法对直接负责的主管人员和其他直接责任人员给予处分；构成犯罪的，依法追究刑事责任。</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第三十六条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2019-01-15T15:17:41Z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