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89"/>
        <w:jc w:val="both"/>
        <w:rPr>
          <w:rFonts w:ascii="黑体" w:hAnsi="黑体" w:eastAsia="黑体" w:cs="黑体" w:hint="eastAsia"/>
          <w:spacing w:val="-3"/>
          <w:sz w:val="32"/>
          <w:szCs w:val="32"/>
        </w:rPr>
      </w:pPr>
      <w:r>
        <w:rPr>
          <w:rFonts w:eastAsia="黑体" w:cs="黑体" w:hint="eastAsia" w:ascii="黑体" w:hAnsi="黑体"/>
          <w:spacing w:val="-3"/>
          <w:sz w:val="32"/>
          <w:szCs w:val="32"/>
        </w:rPr>
      </w:r>
    </w:p>
    <w:p>
      <w:pPr>
        <w:pStyle w:val="Normal"/>
        <w:spacing w:lineRule="exact" w:line="589"/>
        <w:jc w:val="both"/>
        <w:rPr>
          <w:rFonts w:ascii="黑体" w:hAnsi="黑体" w:eastAsia="黑体" w:cs="黑体" w:hint="eastAsia"/>
          <w:spacing w:val="-3"/>
          <w:sz w:val="32"/>
          <w:szCs w:val="32"/>
        </w:rPr>
      </w:pPr>
      <w:r>
        <w:rPr>
          <w:rFonts w:eastAsia="黑体" w:cs="黑体" w:hint="eastAsia" w:ascii="黑体" w:hAnsi="黑体"/>
          <w:spacing w:val="-3"/>
          <w:sz w:val="32"/>
          <w:szCs w:val="32"/>
        </w:rPr>
      </w:r>
    </w:p>
    <w:p>
      <w:pPr>
        <w:pStyle w:val="Normal"/>
        <w:spacing w:lineRule="exact" w:line="589"/>
        <w:jc w:val="center"/>
        <w:rPr>
          <w:rFonts w:ascii="宋体" w:hAnsi="宋体" w:eastAsia="宋体" w:cs="宋体" w:hint="eastAsia"/>
          <w:spacing w:val="-3"/>
          <w:sz w:val="44"/>
          <w:szCs w:val="44"/>
        </w:rPr>
      </w:pPr>
      <w:r>
        <w:rPr>
          <w:rFonts w:ascii="宋体" w:hAnsi="宋体" w:cs="宋体" w:hint="eastAsia"/>
          <w:spacing w:val="-3"/>
          <w:sz w:val="44"/>
          <w:szCs w:val="44"/>
        </w:rPr>
        <w:t>湖北省人民代表大会常务委员会</w:t>
      </w:r>
    </w:p>
    <w:p>
      <w:pPr>
        <w:pStyle w:val="Normal"/>
        <w:spacing w:lineRule="exact" w:line="589"/>
        <w:jc w:val="center"/>
        <w:rPr>
          <w:rFonts w:ascii="宋体" w:hAnsi="宋体" w:eastAsia="宋体" w:cs="宋体" w:hint="eastAsia"/>
          <w:spacing w:val="-3"/>
          <w:sz w:val="44"/>
          <w:szCs w:val="44"/>
        </w:rPr>
      </w:pPr>
      <w:r>
        <w:rPr>
          <w:rFonts w:ascii="宋体" w:hAnsi="宋体" w:cs="宋体" w:hint="eastAsia"/>
          <w:spacing w:val="-3"/>
          <w:sz w:val="44"/>
          <w:szCs w:val="44"/>
        </w:rPr>
        <w:t>关于耕地占用税具体适用税额标准的决定</w:t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9"/>
        <w:ind w:firstLineChars="0" w:firstLine="0" w:startChars="300" w:endChars="300"/>
        <w:jc w:val="both"/>
        <w:textAlignment w:val="auto"/>
        <w:rPr>
          <w:rFonts w:ascii="楷体_GB2312" w:hAnsi="楷体_GB2312" w:eastAsia="楷体_GB2312" w:cs="楷体_GB2312" w:hint="eastAsia"/>
          <w:spacing w:val="-3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-3"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spacing w:val="-3"/>
          <w:sz w:val="32"/>
          <w:szCs w:val="32"/>
        </w:rPr>
        <w:t>2019</w:t>
      </w:r>
      <w:r>
        <w:rPr>
          <w:rFonts w:ascii="楷体_GB2312" w:hAnsi="楷体_GB2312" w:cs="楷体_GB2312" w:hint="eastAsia" w:eastAsia="楷体_GB2312"/>
          <w:spacing w:val="-3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pacing w:val="-3"/>
          <w:sz w:val="32"/>
          <w:szCs w:val="32"/>
        </w:rPr>
        <w:t>7</w:t>
      </w:r>
      <w:r>
        <w:rPr>
          <w:rFonts w:ascii="楷体_GB2312" w:hAnsi="楷体_GB2312" w:cs="楷体_GB2312" w:hint="eastAsia" w:eastAsia="楷体_GB2312"/>
          <w:spacing w:val="-3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pacing w:val="-3"/>
          <w:sz w:val="32"/>
          <w:szCs w:val="32"/>
        </w:rPr>
        <w:t>26</w:t>
      </w:r>
      <w:r>
        <w:rPr>
          <w:rFonts w:ascii="楷体_GB2312" w:hAnsi="楷体_GB2312" w:cs="楷体_GB2312" w:hint="eastAsia" w:eastAsia="楷体_GB2312"/>
          <w:spacing w:val="-3"/>
          <w:sz w:val="32"/>
          <w:szCs w:val="32"/>
        </w:rPr>
        <w:t>日湖北省第十三届人民代表大会常务委员会第十次会议通过）</w:t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为合理利用土地资源，加强土地管理，保护耕地，根据《中华人民共和国耕地占用税法》第四条、第五条、第十二条规定，结合我省人均耕地面积和经济发展等情况，作出以下决定：</w:t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一、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各地区耕地占用税适用税额为：江岸区、江汉区、硚口区、汉阳区、武昌区、青山区、洪山区、黄石港区、西塞山区、下陆区、铁山区、茅箭区、张湾区、樊城区、鄂城区、黄州区、西陵区、伍家岗区、点军区、猇亭区，每平方米四十五元；东西湖区、大冶市、襄城区、咸安区、汉南区、蔡甸区、江夏区、黄陂区、新洲区、沙市区、荆州区、梁子湖区、华容区、东宝区、掇刀区、孝南区、云梦县、曾都区、武穴市，每平方米三十五元；阳新县、公安县、监利县、襄州区、老河口市、枣阳市、宜城市、京山市、沙洋县、钟祥市、孝昌县、大悟县、应城市、安陆市、汉川市、浠水县、蕲春县、石首市、洪湖市、松滋市、夷陵区、宜都市、当阳市、枝江市、随县、广水市、黄梅县、麻城市、嘉鱼县、恩施市、天门市、仙桃市、潜江市，每平方米三十元；郧阳区、郧西县、竹山县、竹溪县、房县、丹江口市、南漳县、谷城县、保康县、团风县、红安县、罗田县、英山县、江陵县、远安县、兴山县、秭归县、长阳土家族自治县、五峰土家族自治县、通城县、崇阳县、通山县、赤壁市、利川市、建始县、巴东县、宣恩县、咸丰县、来凤县、鹤峰县、神农架林区，每平方米二十二元。</w:t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二、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对人均耕地面积低于零点五亩的地区不再加成征收耕地占用税。</w:t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三、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对占用其他农用地的，比照占用耕地适用税额征收耕地占用税。</w:t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四、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本决定自</w:t>
      </w: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>2019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年</w:t>
      </w: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>9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月</w:t>
      </w: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>1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日起施行。</w:t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jc w:val="both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1871" w:footer="1644" w:bottom="1871"/>
      <w:pgNumType w:start="1" w:fmt="decimal"/>
      <w:formProt w:val="false"/>
      <w:textDirection w:val="lrTb"/>
      <w:docGrid w:type="lines" w:linePitch="31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仿宋_GB2312">
    <w:charset w:val="86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黑体">
    <w:charset w:val="86"/>
    <w:family w:val="auto"/>
    <w:pitch w:val="default"/>
  </w:font>
  <w:font w:name="宋体">
    <w:charset w:val="86"/>
    <w:family w:val="auto"/>
    <w:pitch w:val="default"/>
  </w:font>
  <w:font w:name="楷体_GB2312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114935" simplePos="0" relativeHeight="3" behindDoc="1" locked="0" layoutInCell="0" allowOverlap="1">
              <wp:simplePos x="0" y="0"/>
              <wp:positionH relativeFrom="margin">
                <wp:align>inside</wp:align>
              </wp:positionH>
              <wp:positionV relativeFrom="paragraph">
                <wp:posOffset>635</wp:posOffset>
              </wp:positionV>
              <wp:extent cx="5628005" cy="230505"/>
              <wp:effectExtent l="0" t="0" r="0" b="0"/>
              <wp:wrapNone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28005" cy="230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/>
                          </w:pP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209550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43.15pt;height:18.15pt;mso-wrap-distance-left:0pt;mso-wrap-distance-right:9.05pt;mso-wrap-distance-top:0pt;mso-wrap-distance-bottom:0pt;margin-top:0pt;mso-position-vertical-relative:text;margin-left:-10pt;mso-position-horizontal:inside;mso-position-horizontal-relative:margin">
              <v:fill opacity="0f"/>
              <v:textbox inset="0.229166666666667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/>
                    </w:pP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>2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114935" simplePos="0" relativeHeight="2" behindDoc="1" locked="0" layoutInCell="0" allowOverlap="1">
              <wp:simplePos x="0" y="0"/>
              <wp:positionH relativeFrom="margin">
                <wp:align>inside</wp:align>
              </wp:positionH>
              <wp:positionV relativeFrom="paragraph">
                <wp:posOffset>635</wp:posOffset>
              </wp:positionV>
              <wp:extent cx="5643880" cy="30353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4388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jc w:val="end"/>
                            <w:rPr/>
                          </w:pP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209550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44.4pt;height:23.9pt;mso-wrap-distance-left:0pt;mso-wrap-distance-right:9.05pt;mso-wrap-distance-top:0pt;mso-wrap-distance-bottom:0pt;margin-top:0pt;mso-position-vertical-relative:text;margin-left:0pt;mso-position-horizontal:inside;mso-position-horizontal-relative:margin">
              <v:fill opacity="0f"/>
              <v:textbox inset="0.000694444444444445in,0.000694444444444445in,0.229166666666667in,0.000694444444444445in">
                <w:txbxContent>
                  <w:p>
                    <w:pPr>
                      <w:pStyle w:val="Normal"/>
                      <w:snapToGrid w:val="false"/>
                      <w:jc w:val="end"/>
                      <w:rPr/>
                    </w:pP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>
      <w:szCs w:val="24"/>
    </w:rPr>
  </w:style>
  <w:style w:type="character" w:styleId="font71">
    <w:name w:val="font71"/>
    <w:basedOn w:val="Style14"/>
    <w:qFormat/>
    <w:rPr>
      <w:rFonts w:ascii="仿宋_GB2312" w:hAnsi="仿宋_GB2312" w:eastAsia="仿宋_GB2312" w:cs="仿宋_GB2312" w:hint="eastAsia"/>
      <w:color w:val="000000"/>
      <w:sz w:val="24"/>
      <w:szCs w:val="24"/>
      <w:u w:val="none"/>
    </w:rPr>
  </w:style>
  <w:style w:type="character" w:styleId="font51">
    <w:name w:val="font51"/>
    <w:basedOn w:val="Style14"/>
    <w:qFormat/>
    <w:rPr>
      <w:rFonts w:ascii="仿宋_GB2312" w:hAnsi="仿宋_GB2312" w:eastAsia="仿宋_GB2312" w:cs="仿宋_GB2312" w:hint="eastAsia"/>
      <w:color w:val="000000"/>
      <w:sz w:val="24"/>
      <w:szCs w:val="24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CharCharCharCharCharCharChar">
    <w:name w:val="Char Char Char Char Char Char Char"/>
    <w:basedOn w:val="Normal"/>
    <w:qFormat/>
    <w:pPr/>
    <w:rPr>
      <w:szCs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2018-07-30T09:46:00Z</dcterms:created>
  <dc:creator>lenovo</dc:creator>
  <dc:description/>
  <dc:language>en-US</dc:language>
  <cp:lastModifiedBy>Administrator</cp:lastModifiedBy>
  <cp:lastPrinted>2019-08-06T16:19:00Z</cp:lastPrinted>
  <dcterms:modified xsi:type="dcterms:W3CDTF">2019-08-23T08:45:19Z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