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湖北省实施《中华人民共和国</w:t>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节约能源法》办法</w:t>
      </w:r>
    </w:p>
    <w:p>
      <w:pPr>
        <w:pStyle w:val="Normal"/>
        <w:widowControl w:val="false"/>
        <w:spacing w:lineRule="exact" w:line="570"/>
        <w:rPr>
          <w:rFonts w:ascii="方正小标宋简体" w:hAnsi="方正小标宋简体" w:eastAsia="方正小标宋简体" w:cs="宋体;SimSun" w:hint="eastAsia"/>
          <w:sz w:val="44"/>
          <w:szCs w:val="32"/>
        </w:rPr>
      </w:pPr>
      <w:r>
        <w:rPr>
          <w:rFonts w:eastAsia="方正小标宋简体" w:cs="宋体;SimSun" w:hint="eastAsia" w:ascii="方正小标宋简体" w:hAnsi="方正小标宋简体"/>
          <w:sz w:val="44"/>
          <w:szCs w:val="32"/>
        </w:rPr>
      </w:r>
    </w:p>
    <w:p>
      <w:pPr>
        <w:pStyle w:val="Normal"/>
        <w:widowControl w:val="false"/>
        <w:spacing w:lineRule="exact" w:line="570"/>
        <w:ind w:start="640" w:end="640"/>
        <w:rPr>
          <w:rFonts w:ascii="楷体_GB2312" w:hAnsi="楷体_GB2312" w:eastAsia="楷体_GB2312" w:cs="楷体_GB2312"/>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2000</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28</w:t>
      </w:r>
      <w:r>
        <w:rPr>
          <w:rFonts w:ascii="楷体_GB2312" w:hAnsi="楷体_GB2312" w:cs="楷体_GB2312" w:hint="eastAsia" w:eastAsia="楷体_GB2312"/>
          <w:color w:val="000000"/>
          <w:kern w:val="0"/>
          <w:szCs w:val="32"/>
        </w:rPr>
        <w:t>日湖北省第九届人民代表大会常务委员会第二十次会议通过　</w:t>
      </w:r>
      <w:r>
        <w:rPr>
          <w:rFonts w:eastAsia="楷体_GB2312" w:cs="楷体_GB2312" w:ascii="楷体_GB2312" w:hAnsi="楷体_GB2312"/>
          <w:color w:val="000000"/>
          <w:kern w:val="0"/>
          <w:szCs w:val="32"/>
        </w:rPr>
        <w:t>2011</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4</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w:t>
      </w:r>
      <w:r>
        <w:rPr>
          <w:rFonts w:ascii="楷体_GB2312" w:hAnsi="楷体_GB2312" w:cs="楷体_GB2312" w:hint="eastAsia" w:eastAsia="楷体_GB2312"/>
          <w:color w:val="000000"/>
          <w:kern w:val="0"/>
          <w:szCs w:val="32"/>
        </w:rPr>
        <w:t>日湖北省第十一届人民代表大会常务委员会第二十三次会议修订</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p>
    <w:p>
      <w:pPr>
        <w:pStyle w:val="Normal"/>
        <w:widowControl w:val="false"/>
        <w:spacing w:lineRule="exact" w:line="570"/>
        <w:rPr>
          <w:rFonts w:ascii="宋体;SimSun" w:hAnsi="宋体;SimSun" w:eastAsia="楷体_GB2312" w:cs="宋体;SimSun" w:hint="eastAsia"/>
          <w:color w:val="000000"/>
          <w:kern w:val="0"/>
          <w:szCs w:val="32"/>
        </w:rPr>
      </w:pPr>
      <w:r>
        <w:rPr>
          <w:rFonts w:eastAsia="楷体_GB2312" w:cs="宋体;SimSun" w:hint="eastAsia" w:ascii="宋体;SimSun" w:hAnsi="宋体;SimSun"/>
          <w:color w:val="000000"/>
          <w:kern w:val="0"/>
          <w:szCs w:val="32"/>
        </w:rPr>
      </w:r>
    </w:p>
    <w:p>
      <w:pPr>
        <w:pStyle w:val="Normal"/>
        <w:widowControl w:val="false"/>
        <w:spacing w:lineRule="exact" w:line="570"/>
        <w:jc w:val="center"/>
        <w:rPr>
          <w:rFonts w:ascii="楷体_GB2312" w:hAnsi="楷体_GB2312" w:eastAsia="楷体_GB2312" w:cs="宋体;SimSun" w:hint="eastAsia"/>
          <w:szCs w:val="32"/>
        </w:rPr>
      </w:pPr>
      <w:r>
        <w:rPr>
          <w:rFonts w:ascii="楷体_GB2312" w:hAnsi="楷体_GB2312" w:cs="宋体;SimSun"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节能管理</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合理使用和节约能源</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节能技术进步</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激励措施</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第七章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为了实施《中华人民共和国节约能源法》，结合本省实际，制定本办法。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在本省行政区域内从事能源利用、监督管理和节能技术的开发、应用等活动，适用本办法。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贯彻节约资源的基本国策，坚持节约与发展相互促进，坚持节约与开发并举、节能优先，建设资源节约型、环境友好型社会。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节能工作遵循政府引导、市场调节、技术推进、政策激励和社会参与的原则。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县级以上人民政府应当加强对节能工作的组织领导，将节能工作纳入国民经济和社会发展规划，建立节能工作协调机制，研究解决节能工作中的重大问题，全面部署、统筹推进本行政区域内的节能工作。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实行节能目标责任制和节能考核评价制度。省人民政府应当建立科学、完整、统一的节能统计、监测和考核体系，将节能目标逐级分解落实到各市、州、县以及重点用能单位，逐级签订节能目标责任书。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各级人民政府应当将节能指标完成情况纳入经济社会发展综合评价体系，作为行政负责人综合考核评价和企业负责人业绩考核的重要内容。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发展改革部门（以下简称省人民政府节能行政主管部门）主管全省节能监督管理工作，县级以上人民政府节能行政主管部门负责本行政区域内的节能监督管理工作。节能行政主管部门可以委托其所属的节能监察机构具体实施节能监察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县级以上人民政府工业、建设、交通、农业、机关事务管理等部门在各自的职责范围内负责节能监督管理工作，并接受同级节能行政主管部门的指导。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各级人民政府及其相关部门、新闻媒体、学校等应当加强节能宣传教育，普及节能知识，增强全民的节能意识。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任何单位和个人都应当依法履行节约能源的义务，有权举报浪费能源的行为。</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节能行政主管部门和有关部门应当公布举报电话、电子邮箱，接受举报，及时依法处理，并为举报人保密。</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节能管理</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县级以上人民政府节能行政主管部门和有关部门应当在各自的职责范围内，加强对节能法律、法规和节能标准执行情况的监督检查，依法查处违法用能行为。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县级以上人民政府有关部门应当会同节能行政主管部门，根据本行政区域节能中长期专项规划和年度计划，编制本部门的节能规划，报本级人民政府批准后实施。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省人民政府节能行政主管部门应当会同有关部门根据国家产业政策，制定有利于节能的产业目录，报省人民政府批准后向社会公布。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固定资产投资项目由其管理部门按照管理权限和有关规定进行节能评估审查。有下列情形之一的固定资产投资项目，不得审查通过：</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（一）使用国家和省明令淘汰的用能产品、设备、生产工艺的；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（二）用能设备不符合强制性能源效率标准的；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（三）不符合单位产品能耗限额标准的；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（四）不符合国家和省规定的其他节能要求的。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审查单位应当自收到节能评估报告之日起</w:t>
      </w:r>
      <w:r>
        <w:rPr>
          <w:rFonts w:cs="仿宋_GB2312" w:ascii="仿宋_GB2312" w:hAnsi="仿宋_GB2312"/>
          <w:color w:val="000000"/>
          <w:szCs w:val="32"/>
          <w:lang w:val="zh-CN"/>
        </w:rPr>
        <w:t>15</w:t>
      </w:r>
      <w:r>
        <w:rPr>
          <w:rFonts w:ascii="仿宋_GB2312" w:hAnsi="仿宋_GB2312" w:cs="仿宋_GB2312" w:hint="eastAsia"/>
          <w:color w:val="000000"/>
          <w:szCs w:val="32"/>
          <w:lang w:val="zh-CN"/>
        </w:rPr>
        <w:t>日内出具节能审查文件。未经节能审查评估或者经审查未通过的固定资产投资项目，建设单位不得开工建设</w:t>
      </w:r>
      <w:r>
        <w:rPr>
          <w:rFonts w:cs="仿宋_GB2312" w:ascii="仿宋_GB2312" w:hAnsi="仿宋_GB2312"/>
          <w:color w:val="000000"/>
          <w:szCs w:val="32"/>
        </w:rPr>
        <w:t>;</w:t>
      </w:r>
      <w:r>
        <w:rPr>
          <w:rFonts w:ascii="仿宋_GB2312" w:hAnsi="仿宋_GB2312" w:cs="仿宋_GB2312" w:hint="eastAsia"/>
          <w:color w:val="000000"/>
          <w:szCs w:val="32"/>
        </w:rPr>
        <w:t>政府投资项目不符合强制性节能标准的，依法负责项目审批的机关不得批准建设</w:t>
      </w:r>
      <w:r>
        <w:rPr>
          <w:rFonts w:ascii="仿宋_GB2312" w:hAnsi="仿宋_GB2312" w:cs="仿宋_GB2312" w:hint="eastAsia"/>
          <w:color w:val="000000"/>
          <w:szCs w:val="32"/>
          <w:lang w:val="zh-CN"/>
        </w:rPr>
        <w:t>。</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pacing w:val="-6"/>
          <w:szCs w:val="32"/>
          <w:lang w:val="zh-CN"/>
        </w:rPr>
        <w:t>省人民政府对高耗能的产品，可以根据国家标准明确单位产品能耗限额标准。用能单位应当严格执行单位产品能耗限额标准。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鼓励企业与国际国内同行业先进企业能效指标进行对比分析，通过管理和技术等措施，达到更高能效水平。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对国家规定淘汰的用能产品、设备和生产工艺，省人民政府有关部门应当制定淘汰计划，指导用能单位实施淘汰或者技术改造。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省人民政府统计部门会同节能行政主管部门及有关部门，做好能源消费和利用状况的统计工作，每年定期向社会公布各市（州）单位生产总值耗能以及主要耗能行业、重点用能单位的能耗情况等信息。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加快节能服务体系建设，支持节能服务机构开展节能咨询、设计、评估、检测、审计、认证等服务，开展节能知识宣传和技术培训，提供节能信息、节能示范和其他公益性节能服务。节能服务机构应当依法从事节能服务活动，提高服务质量，保证提供的信息真实、准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鼓励节能服务机构通过与用能单位签订节能服务合同，为用能单位提供节能诊断、融资、改造等服务，并按照合同约定与用能单位分享节能收益。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行业协会应当按照法律法规的规定，协助做好行业节能规划及节能标准制定、节能技术推广、能源消费统计、节能宣传培训和信息咨询等工作。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县级以上人民政府节能行政主管部门应当会同有关部门建立节能公共服务平台，公布节能政策、节能标准、节能产品目录，发布节能产品信息和节能技术信息，为社会提供节能指导和服务。</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省、市（州）人民政府节能行政主管部门设立节能咨询专家库，为节能决策提供智力支持，为节能实施提供服务。</w:t>
      </w:r>
    </w:p>
    <w:p>
      <w:pPr>
        <w:pStyle w:val="Normal"/>
        <w:widowControl w:val="false"/>
        <w:spacing w:lineRule="exact" w:line="570"/>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合理使用和节约能源</w:t>
      </w:r>
    </w:p>
    <w:p>
      <w:pPr>
        <w:pStyle w:val="Normal"/>
        <w:widowControl w:val="false"/>
        <w:spacing w:lineRule="exact" w:line="570"/>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用能单位应当加强用能管理，采取技术可行、经济合理的措施，降低能源消耗，科学利用能源，防止能源浪费。具体做好以下工作：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（一）建立节能目标责任制和节能奖惩制度；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（二）制定并实施节能计划和节能技术措施；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（三）建立月度能源消费统计台账和能源利用情况分析制度；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（四）定期开展节能教育和岗位节能培训。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煤、电力、煤气、天然气、石油等能源生产经营单位，不得向本单位职工或者其他用户无偿或低价提供能源，不得向本单位职工按照能源消费量给予补贴。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任何单位不得对能源消费实行包费制。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加强对重点用能单位的节能管理。年综合能源消费总量</w:t>
      </w:r>
      <w:r>
        <w:rPr>
          <w:rFonts w:cs="仿宋_GB2312" w:ascii="仿宋_GB2312" w:hAnsi="仿宋_GB2312"/>
          <w:color w:val="000000"/>
          <w:szCs w:val="32"/>
          <w:lang w:val="zh-CN"/>
        </w:rPr>
        <w:t>5000</w:t>
      </w:r>
      <w:r>
        <w:rPr>
          <w:rFonts w:ascii="仿宋_GB2312" w:hAnsi="仿宋_GB2312" w:cs="仿宋_GB2312" w:hint="eastAsia"/>
          <w:color w:val="000000"/>
          <w:szCs w:val="32"/>
          <w:lang w:val="zh-CN"/>
        </w:rPr>
        <w:t>吨标准煤以上的用能单位，为重点用能单位。重点用能单位具体名单，由省人民政府节能行政主管部门会同统计部门定期向社会公布。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县级以上人民政府应当加强对本行政区域内重点用能单位节能情况的跟踪、指导和监督，定期公布重点用能单位能源利用状况。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重点用能单位应当制订年度节能计划，建立严格的节能管理制度和有效的激励机制，提高能源利用效率，并在每年</w:t>
      </w:r>
      <w:r>
        <w:rPr>
          <w:rFonts w:cs="仿宋_GB2312" w:ascii="仿宋_GB2312" w:hAnsi="仿宋_GB2312"/>
          <w:color w:val="000000"/>
          <w:szCs w:val="32"/>
          <w:lang w:val="zh-CN"/>
        </w:rPr>
        <w:t>3</w:t>
      </w:r>
      <w:r>
        <w:rPr>
          <w:rFonts w:ascii="仿宋_GB2312" w:hAnsi="仿宋_GB2312" w:cs="仿宋_GB2312" w:hint="eastAsia"/>
          <w:color w:val="000000"/>
          <w:szCs w:val="32"/>
          <w:lang w:val="zh-CN"/>
        </w:rPr>
        <w:t>月底前向所在地的县级人民政府节能行政主管部门报送上年度能源利用状况报告。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重点用能单位应当设立能源管理岗位，按照国家规定的条件聘任能源管理负责人，并报所在地节能行政主管部门和有关部门备案。重点用能单位能源管理负责人应当接受节能培训。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节能行政主管部门应当对重点用能单位报送的能源利用状况报告进行审查。经审查，发现有下列情形之一的，应当进行调查处理，必要时委托节能服务机构实施用能设备能源效率检测，责令实施能源审计，并提出书面整改要求，限期整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（一）无正当理由，未完成上年度节能目标的；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（二）能源计量数据、统计数据有明显错误的；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（三）能源利用效率低于同行业平均水平的；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（四）节能管理制度不健全、节能措施不落实、能源利用效率低的其他情形。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有关重点用能单位或者其委托的节能服务机构按照国家有关的节能规范和标准开展能源审计，并向节能行政主管部门提交能源审计报告。能源审计主要包括下列内容：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（一）查阅用能系统、设备台账资料，检查节能设计标准的执行情况；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（二）核对能源消耗计量记录和财务账单，评估分类与分项的能耗；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（三）检查用能系统、设备的运行状况；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（四）审查能源计量器具的运行情况，检查能耗统计数据的真实性、准确性；</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（五）审查能源消耗定额执行情况；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（六）查找存在节能潜力的用能环节，提出合理使用能源的建议。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年综合能源消费总量</w:t>
      </w:r>
      <w:r>
        <w:rPr>
          <w:rFonts w:cs="仿宋_GB2312" w:ascii="仿宋_GB2312" w:hAnsi="仿宋_GB2312"/>
          <w:color w:val="000000"/>
          <w:szCs w:val="32"/>
          <w:lang w:val="zh-CN"/>
        </w:rPr>
        <w:t>3000</w:t>
      </w:r>
      <w:r>
        <w:rPr>
          <w:rFonts w:ascii="仿宋_GB2312" w:hAnsi="仿宋_GB2312" w:cs="仿宋_GB2312" w:hint="eastAsia"/>
          <w:color w:val="000000"/>
          <w:szCs w:val="32"/>
          <w:lang w:val="zh-CN"/>
        </w:rPr>
        <w:t>吨以上不满</w:t>
      </w:r>
      <w:r>
        <w:rPr>
          <w:rFonts w:cs="仿宋_GB2312" w:ascii="仿宋_GB2312" w:hAnsi="仿宋_GB2312"/>
          <w:color w:val="000000"/>
          <w:szCs w:val="32"/>
          <w:lang w:val="zh-CN"/>
        </w:rPr>
        <w:t>5000</w:t>
      </w:r>
      <w:r>
        <w:rPr>
          <w:rFonts w:ascii="仿宋_GB2312" w:hAnsi="仿宋_GB2312" w:cs="仿宋_GB2312" w:hint="eastAsia"/>
          <w:color w:val="000000"/>
          <w:szCs w:val="32"/>
          <w:lang w:val="zh-CN"/>
        </w:rPr>
        <w:t>吨标准煤的用能单位，应当每年向所在地的县级人民政府节能行政主管部门报送能源利用状况报告。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推进能源资源优化开发利用和合理配置，加快经济发展方式转变和产业结构、用能结构调整，大力发展循环经济、低碳经济，实行有利于节能和环境保护的产业政策，优先发展现代服务业、先进制造业和战略性新兴产业，鼓励和支持发展低耗能、低排放、高科技、高附加值产业，限制发展高耗能、高污染产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县级以上人民政府工业行政主管部门应当加强工业节能监督管理，建立和完善行业准入标准，加快推进钢铁、有色、化工、建材等主要耗能行业结构调整和节能技术改造，关闭落后产能。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鼓励工业企业采用高效节能的电动机、锅炉、窑炉、风机、泵类等设备，采用热电联产、余热余压利用、洁净煤以及先进的用能监测和控制技术。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电网企业应当积极推进电力需求侧管理和节能发电调度管理，鼓励企业进行节能改造，降低能源消耗。对钢铁、建材、化工和其他主要耗能行业的企业实行差别电价政策，促进产业结构调整。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电网企业应当与取得行政许可或者报送备案的可再生能源发电企业签订并网协议和购电协议，优先全额收购其电网覆盖范围内可再生能源发电项目的上网电量，并为可再生能源发电企业提供接入、计量、结算等上网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建设行政主管部门应当加强建筑节能监督管理，制定、公布建筑节能新技术、新工艺、新设备、新产品及新材料推广目录，引导和扶持建筑节能材料的科研、开发、生产和推广应用。既有民用建筑不符合节能标准的，逐步实施节能改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交通运输行政主管部门应当加强交通运输节能监督管理，以满足交通出行需求和减少交通出行距离为目的，优先发展公共交通、轨道交通，推广大容量快速公交系统，科学规划调整公共交通线路布局，优化城市道路网络系统，发展城市自行车交通，减少交通能源消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加快新型低能耗车船的研制、开发、推广运用，淘汰老旧机动车和船舶。新购公共交通运输工具，鼓励选用节能环保型交通运输工具。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县级以上人民政府管理机关事务工作的机构应当会同有关部门对本级公共机构实行能源消耗定额管理，加强公共机构节能监督管理。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公共机构应当厉行节约，杜绝浪费，带头使用节能产品、设备，加强能源消费计量和监测管理，提高能源利用效率。</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取得节能产品认证证书的产品，应当优先列入节能产品、设备政府采购名录；公共机构采购用能产品、设备时，应当优先采购列入名录中的节能产品、设备。</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公用设施、公共场所的照明和大型建筑物装饰性景观照明及其控制系统应当使用节电技术、节能产品和新能源，降低能耗。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农业行政主管部门应当加强农业和农村节能监督管理，加快淘汰和更新高耗能的农业机械设备和渔船装备，大力发展农村户用沼气和大中型畜禽养殖场沼气工程，推广省柴节煤灶和多功能生物质能炉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各级人民政府应当加强生活节能监督管理，提倡文明用能消费方式，引导和鼓励城乡居民采用节能产品，加强对耗能设备的维修管理，降低能源消耗。</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居民委员会、村民委员会应当向社区居民和村民宣传节能理念和节能知识，增强节能意识，提高节能水平。</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节能技术进步</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pacing w:val="-8"/>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w:t>
      </w:r>
      <w:r>
        <w:rPr>
          <w:rFonts w:ascii="仿宋_GB2312" w:hAnsi="仿宋_GB2312" w:cs="仿宋_GB2312" w:hint="eastAsia"/>
          <w:color w:val="000000"/>
          <w:spacing w:val="-8"/>
          <w:szCs w:val="32"/>
          <w:lang w:val="zh-CN"/>
        </w:rPr>
        <w:t>人民政府节能行政主管部门应当会同有关部门指导节能技术研究、开发和推广应用，制定并公布节能技术、节能产品的推广目录，组织实施重大节能科研项目、节能示范项目和重点节能工程。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把节能技术研究、开发及推广应用作为政府科技投入的重点领域，每年安排一定资金，支持科研机构、高等院校和企业开展节能技术应用研究，开发节能共性技术和关键技术，促进节能技术创新与成果的转化和低碳城市建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鼓励和支持企业、科研机构、高等院校开发利用生物质能、风能、太阳能、水能、地热能等可再生能源，开展节能信息和技术的交流合作。</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鼓励企业采用新技术、新工艺、新设备、新材料，进行节能技术改造。</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激励措施</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省、设区的市人民政府设立节能专项资金，用于以下节能工作：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（一）节能技术研究开发、成果转化；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（二）可再生能源的推广，节能技术和产品的示范与推广，节能技术改造；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（三）重点节能工程的实施；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（四）节能宣传、培训、信息服务；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（五）节能统计、监测、考核与能源审计；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（六）节能表彰与奖励；</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（七）其他节能工作。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各级人民政府应当加强节能专项资金的监督和审计，提高节能专项资金使用效益。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省人民政府通过财政补贴、价格调控、落实税收优惠政策、政府优先采购等方式，鼓励和支持以下节能措施：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（一）推广、使用节能照明器具等节能产品和新能源、节能环保交通运输工具；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（二）生产、使用高效节能的电动机、锅炉、窑炉、风机、泵类等用能设备和生产工艺；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（三）采用热电联产、利用余热余压、洁净煤以及先进的用能监测和控制技术；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（四）开发利用生物质能、风能、太阳能、水能、地热能等可再生资源；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（五）在新建、改建、扩建建筑工程和既有建筑节能改造中，使用节能建筑材料、技术和产品；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（六）对生产、生活中产生的废弃物进行综合利用；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（七）节能服务机构按照市场机制参与企业节能技术改造和用能管理；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（八）国家和省确定的其他节能措施。</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　　第四十条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引导各类金融机构对节能项目提供信贷支持，对生产、使用列入《中华人民共和国节约能源法》第五十八条规定的推广目录的节能技术和节能产品的节能项目，金融机构予以贷款支持，财政部门安排相应资金予以贴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各级人民政府对在节能管理、节能技术研究和推广等工作中有显著成绩的单位和个人给予表彰和奖励。</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用能单位对在节能工作中作出贡献的集体、个人给予奖励。</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违反本办法规定，法律、法规有处罚规定的，从其规定。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用能单位阻碍或者拒绝接受节能监督检查的，由县级以上人民政府节能行政主管部门予以警告，责令限期改正；逾期不改正的，可处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用能单位超过单位产品能耗限额标准用能，情节严重，经限期治理逾期不治理或者没有达到治理要求的，可以由节能行政主管部门提出意见，报请本级人民政府按照规定的权限责令停业整顿或者关闭。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从事节能咨询、设计、评估、检测、审计、认证等服务的机构提供虚假信息的，由节能行政主管部门责令改正，没收违法所得，并处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万元以下罚款，违法行为信息记入企业信用信息系统。</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违反本办法第二十二条规定，能源生产经营单位有下列情形之一的，由节能行政主管部门责令限期改正；逾期不改正的，处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20</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（一）无偿或者低价向本单位职工提供能源的；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（二）向本单位职工按照能源消费量给予补贴的；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（三）对能源消费实行包费制的。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有关用能单位未按照本办法第二十七条规定报送能源利用状况报告或者报告内容不实的，由节能行政主管部门责令限期改正；逾期不改正的，处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3</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共机构采购用能产品、设备，未优先采购列入节能产品、设备政府采购名录中的产品、设备的，由政府采购监督管理部门给予警告，可以并处罚款；对直接负责的主管人员和其他直接责任人员依法给予处分，并予通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节能行政主管部门和其他有关部门工作人员在节能监督管理工作中有下列行为之一的，依法给予行政处分；构成犯罪的，依法追究刑事责任：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（一）对不符合条件的节能评估报告予以审查通过的；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（二）对未经节能审查或者审查未通过的政府投资项目予以批准建设的；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（三）干扰监督检查对象的合法生产经营活动，向监督检查对象收取费用或者谋取其他非法利益的；</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（四）其他滥用职权、玩忽职守、徇私舞弊的行为。</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本办法自</w:t>
      </w:r>
      <w:r>
        <w:rPr>
          <w:rFonts w:cs="仿宋_GB2312" w:ascii="仿宋_GB2312" w:hAnsi="仿宋_GB2312"/>
          <w:color w:val="000000"/>
          <w:szCs w:val="32"/>
          <w:lang w:val="zh-CN"/>
        </w:rPr>
        <w:t>2011</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6</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仿宋_GB2312" w:hAnsi="仿宋_GB2312" w:cs="仿宋_GB2312"/>
          <w:szCs w:val="32"/>
        </w:rPr>
      </w:pPr>
      <w:r>
        <w:rPr>
          <w:rFonts w:cs="仿宋_GB2312" w:ascii="仿宋_GB2312" w:hAnsi="仿宋_GB2312"/>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2017-12-28T17:47:00Z</dcterms:created>
  <dc:creator>匿名用户</dc:creator>
  <dc:description/>
  <cp:keywords/>
  <dc:language>en-US</dc:language>
  <cp:lastModifiedBy>Byron Jack</cp:lastModifiedBy>
  <cp:lastPrinted>2017-12-26T14:41:00Z</cp:lastPrinted>
  <dcterms:modified xsi:type="dcterms:W3CDTF">2017-12-28T17:47:00Z</dcterms:modified>
  <cp:revision>2</cp:revision>
  <dc:subject/>
  <dc:title>湖北省劳动力市场管理条例</dc:title>
</cp:coreProperties>
</file>