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</w:r>
    </w:p>
    <w:p>
      <w:pPr>
        <w:pStyle w:val="Normal"/>
        <w:spacing w:lineRule="exact" w:line="589"/>
        <w:jc w:val="center"/>
        <w:rPr>
          <w:rFonts w:ascii="宋体" w:hAnsi="宋体" w:eastAsia="宋体" w:cs="宋体" w:hint="eastAsia"/>
          <w:spacing w:val="-3"/>
          <w:sz w:val="44"/>
          <w:szCs w:val="44"/>
        </w:rPr>
      </w:pPr>
      <w:r>
        <w:rPr>
          <w:rFonts w:ascii="宋体" w:hAnsi="宋体" w:cs="宋体" w:hint="eastAsia"/>
          <w:spacing w:val="-3"/>
          <w:sz w:val="44"/>
          <w:szCs w:val="44"/>
        </w:rPr>
        <w:t>湖北省人民代表大会常务委员会</w:t>
      </w:r>
    </w:p>
    <w:p>
      <w:pPr>
        <w:pStyle w:val="Normal"/>
        <w:spacing w:lineRule="exact" w:line="589"/>
        <w:jc w:val="center"/>
        <w:rPr>
          <w:rFonts w:ascii="宋体" w:hAnsi="宋体" w:eastAsia="宋体" w:cs="宋体" w:hint="eastAsia"/>
          <w:spacing w:val="-3"/>
          <w:sz w:val="44"/>
          <w:szCs w:val="44"/>
        </w:rPr>
      </w:pPr>
      <w:r>
        <w:rPr>
          <w:rFonts w:ascii="宋体" w:hAnsi="宋体" w:cs="宋体" w:hint="eastAsia"/>
          <w:spacing w:val="-3"/>
          <w:sz w:val="44"/>
          <w:szCs w:val="44"/>
        </w:rPr>
        <w:t>关于契税具体适用税率及免征减征办法的决定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9"/>
        <w:ind w:firstLineChars="0" w:firstLine="0" w:startChars="300" w:endChars="300"/>
        <w:jc w:val="both"/>
        <w:textAlignment w:val="auto"/>
        <w:rPr>
          <w:rFonts w:ascii="楷体_GB2312" w:hAnsi="楷体_GB2312" w:eastAsia="楷体_GB2312" w:cs="楷体_GB2312" w:hint="eastAsia"/>
          <w:spacing w:val="-3"/>
          <w:sz w:val="32"/>
          <w:szCs w:val="32"/>
        </w:rPr>
      </w:pPr>
      <w:r>
        <w:rPr>
          <w:rFonts w:eastAsia="楷体_GB2312" w:cs="楷体_GB2312" w:hint="eastAsia" w:ascii="楷体_GB2312" w:hAnsi="楷体_GB2312"/>
          <w:spacing w:val="-3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9"/>
        <w:ind w:firstLineChars="0" w:firstLine="0" w:startChars="300" w:endChars="300"/>
        <w:jc w:val="both"/>
        <w:textAlignment w:val="auto"/>
        <w:rPr>
          <w:rFonts w:ascii="楷体_GB2312" w:hAnsi="楷体_GB2312" w:eastAsia="楷体_GB2312" w:cs="楷体_GB2312" w:hint="eastAsia"/>
          <w:spacing w:val="-3"/>
          <w:sz w:val="32"/>
          <w:szCs w:val="32"/>
        </w:rPr>
      </w:pPr>
      <w:r>
        <w:rPr>
          <w:rFonts w:ascii="楷体_GB2312" w:hAnsi="楷体_GB2312" w:cs="楷体_GB2312" w:hint="eastAsia" w:eastAsia="楷体_GB2312"/>
          <w:spacing w:val="-3"/>
          <w:sz w:val="32"/>
          <w:szCs w:val="32"/>
        </w:rPr>
        <w:t>（</w:t>
      </w:r>
      <w:r>
        <w:rPr>
          <w:rFonts w:eastAsia="楷体_GB2312" w:cs="楷体_GB2312" w:hint="eastAsia" w:ascii="楷体_GB2312" w:hAnsi="楷体_GB2312"/>
          <w:spacing w:val="-3"/>
          <w:sz w:val="32"/>
          <w:szCs w:val="32"/>
        </w:rPr>
        <w:t>2021</w:t>
      </w:r>
      <w:r>
        <w:rPr>
          <w:rFonts w:ascii="楷体_GB2312" w:hAnsi="楷体_GB2312" w:cs="楷体_GB2312" w:hint="eastAsia" w:eastAsia="楷体_GB2312"/>
          <w:spacing w:val="-3"/>
          <w:sz w:val="32"/>
          <w:szCs w:val="32"/>
        </w:rPr>
        <w:t>年</w:t>
      </w:r>
      <w:r>
        <w:rPr>
          <w:rFonts w:eastAsia="楷体_GB2312" w:cs="楷体_GB2312" w:hint="eastAsia" w:ascii="楷体_GB2312" w:hAnsi="楷体_GB2312"/>
          <w:spacing w:val="-3"/>
          <w:sz w:val="32"/>
          <w:szCs w:val="32"/>
        </w:rPr>
        <w:t>7</w:t>
      </w:r>
      <w:r>
        <w:rPr>
          <w:rFonts w:ascii="楷体_GB2312" w:hAnsi="楷体_GB2312" w:cs="楷体_GB2312" w:hint="eastAsia" w:eastAsia="楷体_GB2312"/>
          <w:spacing w:val="-3"/>
          <w:sz w:val="32"/>
          <w:szCs w:val="32"/>
        </w:rPr>
        <w:t>月</w:t>
      </w:r>
      <w:r>
        <w:rPr>
          <w:rFonts w:eastAsia="楷体_GB2312" w:cs="楷体_GB2312" w:hint="eastAsia" w:ascii="楷体_GB2312" w:hAnsi="楷体_GB2312"/>
          <w:spacing w:val="-3"/>
          <w:sz w:val="32"/>
          <w:szCs w:val="32"/>
        </w:rPr>
        <w:t>30</w:t>
      </w:r>
      <w:r>
        <w:rPr>
          <w:rFonts w:ascii="楷体_GB2312" w:hAnsi="楷体_GB2312" w:cs="楷体_GB2312" w:hint="eastAsia" w:eastAsia="楷体_GB2312"/>
          <w:spacing w:val="-3"/>
          <w:sz w:val="32"/>
          <w:szCs w:val="32"/>
        </w:rPr>
        <w:t>日湖北省第十三届人民代表大会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9"/>
        <w:ind w:firstLineChars="0" w:firstLine="0" w:startChars="300" w:endChars="300"/>
        <w:jc w:val="both"/>
        <w:textAlignment w:val="auto"/>
        <w:rPr>
          <w:rFonts w:ascii="楷体_GB2312" w:hAnsi="楷体_GB2312" w:eastAsia="楷体_GB2312" w:cs="楷体_GB2312" w:hint="eastAsia"/>
          <w:spacing w:val="-3"/>
          <w:sz w:val="32"/>
          <w:szCs w:val="32"/>
        </w:rPr>
      </w:pPr>
      <w:r>
        <w:rPr>
          <w:rFonts w:ascii="楷体_GB2312" w:hAnsi="楷体_GB2312" w:cs="楷体_GB2312" w:hint="eastAsia" w:eastAsia="楷体_GB2312"/>
          <w:spacing w:val="-3"/>
          <w:sz w:val="32"/>
          <w:szCs w:val="32"/>
        </w:rPr>
        <w:t>常务委员会第二十五次会议通过）</w:t>
      </w:r>
    </w:p>
    <w:p>
      <w:pPr>
        <w:pStyle w:val="Normal"/>
        <w:spacing w:lineRule="exact" w:line="589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</w:r>
    </w:p>
    <w:p>
      <w:pPr>
        <w:pStyle w:val="Normal"/>
        <w:spacing w:lineRule="exact" w:line="589"/>
        <w:ind w:firstLineChars="200" w:startChars="0" w:start="0" w:endChars="0" w:end="0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根据《中华人民共和国契税法》，结合我省实际，对契税具体适用税率及免征减征办法决定如下：</w:t>
      </w:r>
    </w:p>
    <w:p>
      <w:pPr>
        <w:pStyle w:val="Normal"/>
        <w:spacing w:lineRule="exact" w:line="589"/>
        <w:ind w:firstLineChars="200" w:startChars="0" w:start="0" w:endChars="0" w:end="0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一、我省契税的适用税率为百分之三。</w:t>
      </w:r>
    </w:p>
    <w:p>
      <w:pPr>
        <w:pStyle w:val="Normal"/>
        <w:spacing w:lineRule="exact" w:line="589"/>
        <w:ind w:firstLineChars="200" w:startChars="0" w:start="0" w:endChars="0" w:end="0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国务院对居民住房需求保障等情形规定免征或减征契税的，从其规定。</w:t>
      </w:r>
    </w:p>
    <w:p>
      <w:pPr>
        <w:pStyle w:val="Normal"/>
        <w:spacing w:lineRule="exact" w:line="589"/>
        <w:ind w:firstLineChars="200" w:startChars="0" w:start="0" w:endChars="0" w:end="0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二、符合《中华人民共和国契税法》第七条规定情形的，按照以下规定免征契税：</w:t>
      </w:r>
    </w:p>
    <w:p>
      <w:pPr>
        <w:pStyle w:val="Normal"/>
        <w:spacing w:lineRule="exact" w:line="589"/>
        <w:ind w:firstLineChars="200" w:startChars="0" w:start="0" w:endChars="0" w:end="0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（一）因土地、房屋被县级以上人民政府征收、征用，选择货币补偿且重新购置土地、房屋的，成交价格不超过货币补偿部分免征契税，对超出部分征收契税；选择房屋产权调换、土地使用权置换且不支付差价的免征契税，支付差价的，对差价部分征收契税。</w:t>
      </w:r>
    </w:p>
    <w:p>
      <w:pPr>
        <w:pStyle w:val="Normal"/>
        <w:spacing w:lineRule="exact" w:line="589"/>
        <w:ind w:firstLineChars="200" w:startChars="0" w:start="0" w:endChars="0" w:end="0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（二）因不可抗力灭失住房，重新承受住房权属的，免征契税。不可抗力灭失住房由县级以上人民政府应急管理部门认定。</w:t>
      </w:r>
    </w:p>
    <w:p>
      <w:pPr>
        <w:pStyle w:val="Normal"/>
        <w:spacing w:lineRule="exact" w:line="589"/>
        <w:ind w:firstLineChars="200" w:startChars="0" w:start="0" w:endChars="0" w:end="0"/>
        <w:rPr>
          <w:rFonts w:ascii="仿宋_GB2312" w:hAnsi="仿宋_GB2312" w:eastAsia="仿宋_GB2312" w:cs="仿宋_GB2312" w:hint="eastAsia"/>
          <w:spacing w:val="-3"/>
          <w:sz w:val="32"/>
          <w:szCs w:val="32"/>
        </w:rPr>
      </w:pP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三、本决定自</w:t>
      </w: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>2021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年</w:t>
      </w: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>9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月</w:t>
      </w:r>
      <w:r>
        <w:rPr>
          <w:rFonts w:eastAsia="仿宋_GB2312" w:cs="仿宋_GB2312" w:hint="eastAsia" w:ascii="仿宋_GB2312" w:hAnsi="仿宋_GB2312"/>
          <w:spacing w:val="-3"/>
          <w:sz w:val="32"/>
          <w:szCs w:val="32"/>
        </w:rPr>
        <w:t>1</w:t>
      </w:r>
      <w:r>
        <w:rPr>
          <w:rFonts w:ascii="仿宋_GB2312" w:hAnsi="仿宋_GB2312" w:cs="仿宋_GB2312" w:hint="eastAsia" w:eastAsia="仿宋_GB2312"/>
          <w:spacing w:val="-3"/>
          <w:sz w:val="32"/>
          <w:szCs w:val="32"/>
        </w:rPr>
        <w:t>日起施行。</w:t>
      </w:r>
    </w:p>
    <w:sectPr>
      <w:footerReference w:type="even" r:id="rId2"/>
      <w:footerReference w:type="default" r:id="rId3"/>
      <w:type w:val="nextPage"/>
      <w:pgSz w:w="11906" w:h="16838"/>
      <w:pgMar w:left="1531" w:right="1531" w:gutter="0" w:header="0" w:top="1871" w:footer="1644" w:bottom="1871"/>
      <w:pgNumType w:fmt="decimal"/>
      <w:formProt w:val="false"/>
      <w:textDirection w:val="lrTb"/>
      <w:docGrid w:type="lines" w:linePitch="31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仿宋_GB2312">
    <w:charset w:val="86"/>
    <w:family w:val="modern"/>
    <w:pitch w:val="default"/>
  </w:font>
  <w:font w:name="宋体">
    <w:charset w:val="86"/>
    <w:family w:val="auto"/>
    <w:pitch w:val="default"/>
  </w:font>
  <w:font w:name="楷体_GB2312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114935" distR="114935" simplePos="0" relativeHeight="3" behindDoc="1" locked="0" layoutInCell="0" allowOverlap="1">
              <wp:simplePos x="0" y="0"/>
              <wp:positionH relativeFrom="margin">
                <wp:posOffset>-12065</wp:posOffset>
              </wp:positionH>
              <wp:positionV relativeFrom="paragraph">
                <wp:posOffset>635</wp:posOffset>
              </wp:positionV>
              <wp:extent cx="5628005" cy="230505"/>
              <wp:effectExtent l="0" t="0" r="0" b="0"/>
              <wp:wrapNone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28005" cy="2305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napToGrid w:val="false"/>
                            <w:rPr/>
                          </w:pP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anchor="t" lIns="209550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43.15pt;height:18.15pt;mso-wrap-distance-left:9.05pt;mso-wrap-distance-right:9.05pt;mso-wrap-distance-top:0pt;mso-wrap-distance-bottom:0pt;margin-top:0pt;mso-position-vertical-relative:text;margin-left:-0.95pt;mso-position-horizontal-relative:margin">
              <v:fill opacity="0f"/>
              <v:textbox inset="0.229166666666667in,0.000694444444444445in,0.000694444444444445in,0.000694444444444445in">
                <w:txbxContent>
                  <w:p>
                    <w:pPr>
                      <w:pStyle w:val="Normal"/>
                      <w:snapToGrid w:val="false"/>
                      <w:rPr/>
                    </w:pP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t>2</w:t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114935" simplePos="0" relativeHeight="2" behindDoc="1" locked="0" layoutInCell="0" allowOverlap="1">
              <wp:simplePos x="0" y="0"/>
              <wp:positionH relativeFrom="margin">
                <wp:align>inside</wp:align>
              </wp:positionH>
              <wp:positionV relativeFrom="paragraph">
                <wp:posOffset>635</wp:posOffset>
              </wp:positionV>
              <wp:extent cx="5643880" cy="303530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43880" cy="30353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napToGrid w:val="false"/>
                            <w:jc w:val="end"/>
                            <w:rPr/>
                          </w:pP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anchor="t" lIns="635" tIns="635" rIns="209550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44.4pt;height:23.9pt;mso-wrap-distance-left:0pt;mso-wrap-distance-right:9.05pt;mso-wrap-distance-top:0pt;mso-wrap-distance-bottom:0pt;margin-top:0pt;mso-position-vertical-relative:text;margin-left:0pt;mso-position-horizontal:inside;mso-position-horizontal-relative:margin">
              <v:fill opacity="0f"/>
              <v:textbox inset="0.000694444444444445in,0.000694444444444445in,0.229166666666667in,0.000694444444444445in">
                <w:txbxContent>
                  <w:p>
                    <w:pPr>
                      <w:pStyle w:val="Normal"/>
                      <w:snapToGrid w:val="false"/>
                      <w:jc w:val="end"/>
                      <w:rPr/>
                    </w:pP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evenAndOddHeaders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2018-07-30T09:46:00Z</dcterms:created>
  <dc:creator>lenovo</dc:creator>
  <dc:description/>
  <dc:language>en-US</dc:language>
  <cp:lastModifiedBy>admin</cp:lastModifiedBy>
  <cp:lastPrinted>2018-07-30T10:15:00Z</cp:lastPrinted>
  <dcterms:modified xsi:type="dcterms:W3CDTF">2021-08-27T16:17:04Z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BD829940D43C43D8BC25A9C4992F4783</vt:lpwstr>
  </property>
  <property fmtid="{D5CDD505-2E9C-101B-9397-08002B2CF9AE}" pid="3" name="KSOProductBuildVer">
    <vt:lpwstr>2052-11.1.0.10700</vt:lpwstr>
  </property>
</Properties>
</file>