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湖北省清江流域水生态环境保护条例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 xml:space="preserve">日湖北省第十三届人民代表大会常务委员会第十一次会议通过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 xml:space="preserve">日湖北省第十三届人民代表大会常务委员会第二十六次会议《关于集中修改涉及长江保护法省本级地方性法规的决定》修正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日湖北省第十三届人民代表大会常务委员会第三十四次会议《关于集中修改、废止部分省本级地方性法规的决定》第二次修正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标准与规划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水污染防治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生态保护与修复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保障与监督管理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第一条  </w:t>
      </w:r>
      <w:r>
        <w:rPr>
          <w:rFonts w:ascii="仿宋_GB2312;仿宋" w:hAnsi="仿宋_GB2312;仿宋" w:cs="仿宋_GB2312;仿宋" w:hint="eastAsia" w:eastAsia="仿宋_GB2312;仿宋"/>
          <w:spacing w:val="-3"/>
          <w:sz w:val="32"/>
          <w:szCs w:val="32"/>
        </w:rPr>
        <w:t>为了保护和改善清江流域水生态环境，防治水污染，保障饮用水安全和公众健康，推进生态文明建设，促进绿色发展和高质量发展，根据《中华人民共和国环境保护法》《中华人民共和国水污染防治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本条例适用于本省行政区域内清江流域水生态环境的保护活动。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条例所称清江流域，是指恩施土家族苗族自治州的利川市、恩施市、建始县、巴东县、咸丰县、宣恩县、鹤峰县，宜昌市的长阳土家族自治县、五峰土家族自治县、宜都市境内清江干流及其支流汇水面积内的水域和陆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清江流域水生态环境保护应当坚持党的领导，遵循保护优先、预防为主、综合治理、严格监管、公众参与、损害担责的原则。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第四条  </w:t>
      </w:r>
      <w:r>
        <w:rPr>
          <w:rFonts w:ascii="仿宋_GB2312;仿宋" w:hAnsi="仿宋_GB2312;仿宋" w:cs="仿宋_GB2312;仿宋" w:hint="eastAsia" w:eastAsia="仿宋_GB2312;仿宋"/>
          <w:spacing w:val="-3"/>
          <w:sz w:val="32"/>
          <w:szCs w:val="32"/>
        </w:rPr>
        <w:t>省和清江流域县级以上人民政府应当将清江流域水生态环境保护工作纳入国民经济和社会发展规划，建立健全保护工作机制，将保护经费纳入同级财政预算，支持水生态环境保护的科学研究和先进技术的推广应用，加强清江流域水生态环境的保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乡镇人民政府、街道办事处负责本辖区内的水生态环境保护相关工作。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村（居）民委员会协助开展水生态环境的保护工作，将水生态环境保护纳入村规民约、居民公约。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省人民政府对清江流域水生态环境质量负总责，清江流域各级人民政府对本行政区域内清江流域水生态环境质量负责。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清江流域水生态环境保护实行目标责任制和考核评价制度。饮用水水源地水质达标、水功能区水质达标、地表水考核断面水质达标、重点水污染物总量控制、水电站生态流量监督管理等应当纳入目标考核内容。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清江流域实行河（湖）长制，各级河（湖）长组织领导本行政区域内水资源保护、水域岸线管理、水污染防治、水环境治理等工作。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省人民政府建立清江流域水生态环境保护联席会议制度，统筹协调清江流域水生态环境保护规划、国土空间用途管制、自然资源资产管理、生态保护补偿等重大事项，研究解决清江流域水生态环境保护中的重大问题。联席会议的日常工作由省人民政府生态环境主管部门承担。</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省人民政府生态环境主管部门应当会同清江流域市（州）人民政府建立清江流域水生态环境保护联合协调机制，实行统一规划、统一标准、统一监测、统一防治。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省和清江流域县级以上人民政府生态环境主管部门对本行政区域内清江流域水生态环境保护实施统一监督管理。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发展改革、经济和信息化、科技、公安、自然资源、住房和城乡建设、交通运输、水行政、农业农村、文化和旅游、卫生健康、市场监督管理等有关主管部门在各自的职责范围内，负责本行政区域内清江流域水生态环境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清江流域对重点水污染物排放实施总量控制制度。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排放水污染物，不得超过国家和省规定的水污染物排放标准和重点水污染物排放总量控制指标。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社会公众应当遵守环境保护法律法规，养成绿色、低碳、环保的生产生活方式。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省和清江流域各级人民政府及有关主管部门应当组织开展水生态环境保护法律法规和知识的宣传教育，增强保护水生态环境的意识。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广播、电视、报刊、网络等媒体应当加强清江流域水生态环境保护的公益宣传，对违法行为开展舆论监督。</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鼓励和支持公众、环保志愿者和社会组织参与清江流域水生态环境的保护和监督。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标准与规划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hanging="0" w:start="0"/>
        <w:jc w:val="both"/>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清江干流执行省人民政府划定的水功能区类别及相应的水环境质量标准。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清江流域市（州）人民政府应当依照相关规定划定本行政区域内清江支流的水功能区类别，报省人民政府批准后实施。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清江流域城乡污水集中处理设施出水水质应当执行《城镇污水处理厂污染物排放标准》一级</w:t>
      </w:r>
      <w:r>
        <w:rPr>
          <w:rFonts w:eastAsia="仿宋_GB2312;仿宋" w:cs="仿宋_GB2312;仿宋" w:hint="eastAsia" w:ascii="仿宋_GB2312;仿宋" w:hAnsi="仿宋_GB2312;仿宋"/>
          <w:spacing w:val="-3"/>
          <w:sz w:val="32"/>
          <w:szCs w:val="32"/>
        </w:rPr>
        <w:t>A</w:t>
      </w:r>
      <w:r>
        <w:rPr>
          <w:rFonts w:ascii="仿宋_GB2312;仿宋" w:hAnsi="仿宋_GB2312;仿宋" w:cs="仿宋_GB2312;仿宋" w:hint="eastAsia" w:eastAsia="仿宋_GB2312;仿宋"/>
          <w:spacing w:val="-3"/>
          <w:sz w:val="32"/>
          <w:szCs w:val="32"/>
        </w:rPr>
        <w:t>排放标准；现有污水集中处理设施出水水质达不到排放标准的，应当限期改造。鼓励污水集中处理设施出水水质执行高于一级</w:t>
      </w:r>
      <w:r>
        <w:rPr>
          <w:rFonts w:eastAsia="仿宋_GB2312;仿宋" w:cs="仿宋_GB2312;仿宋" w:hint="eastAsia" w:ascii="仿宋_GB2312;仿宋" w:hAnsi="仿宋_GB2312;仿宋"/>
          <w:spacing w:val="-3"/>
          <w:sz w:val="32"/>
          <w:szCs w:val="32"/>
        </w:rPr>
        <w:t>A</w:t>
      </w:r>
      <w:r>
        <w:rPr>
          <w:rFonts w:ascii="仿宋_GB2312;仿宋" w:hAnsi="仿宋_GB2312;仿宋" w:cs="仿宋_GB2312;仿宋" w:hint="eastAsia" w:eastAsia="仿宋_GB2312;仿宋"/>
          <w:spacing w:val="-3"/>
          <w:sz w:val="32"/>
          <w:szCs w:val="32"/>
        </w:rPr>
        <w:t>排放标准。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省人民政府生态环境主管部门应当会同发展改革、自然资源、交通运输、水行政、农业农村、文化和旅游、卫生健康等有关主管部门以及清江流域市（州）人民政府组织编制清江流域水生态环境保护规划，报省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清江流域县级以上人民政府应当根据省人民政府批准的清江流域水生态环境保护规划，组织制定本行政区域的水生态环境保护规划。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清江流域水生态环境保护规划应当向社会公开，并严格执行；确需调整的，应当经原批准机关批准。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编制清江流域水生态环境保护规划应当严格遵守生态保护红线、环境质量底线、资源利用上线和</w:t>
      </w:r>
      <w:r>
        <w:rPr>
          <w:rFonts w:ascii="仿宋_GB2312;仿宋" w:hAnsi="仿宋_GB2312;仿宋" w:cs="仿宋_GB2312;仿宋" w:hint="eastAsia" w:eastAsia="仿宋_GB2312;仿宋"/>
          <w:b w:val="false"/>
          <w:bCs/>
          <w:color w:val="000000"/>
          <w:sz w:val="32"/>
          <w:szCs w:val="32"/>
        </w:rPr>
        <w:t>生态环境准入清单</w:t>
      </w:r>
      <w:r>
        <w:rPr>
          <w:rFonts w:ascii="仿宋_GB2312;仿宋" w:hAnsi="仿宋_GB2312;仿宋" w:cs="仿宋_GB2312;仿宋" w:hint="eastAsia" w:eastAsia="仿宋_GB2312;仿宋"/>
          <w:spacing w:val="-3"/>
          <w:sz w:val="32"/>
          <w:szCs w:val="32"/>
        </w:rPr>
        <w:t>，符合国土空间规划、生态环境保护规划。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饮用水水源地保护、城乡污水处理、农业面源污染防治、畜禽养殖污染防治、船舶污染防治、生态修复、岸线利用、产业发展等专项规划或者方案，应当根据清江流域水生态环境保护规划编制。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清江流域县级以上人民政府应当按照水生态环境保护规划确定的目标，制定限期达标方案，采取措施按期达标。</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清江流域县级以上人民政府应当将限期达标方案报上一级人民政府备案，并向社会公开。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水污染防治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省人民政府应当根据长江流域发展规划、国土空间规划的要求，调整优化清江流域产业结构和布局，制定清江流域发展负面清单。负面清单应当包括岸线、河段、区域和产业等方面的禁止性规定，并向社会公开。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清江流域禁止新建纳入清江流域发展负面清单的项目；已经建成的，县级以上人民政府应当制定限期整治方案，予以改造、转产、搬迁或者关闭。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工业集聚区应当同步配套建设污水集中处理设施，实行清污分流、雨污分流，实现废水分类收集、分质处理。污水集中处理设施应当安装自动监控系统，并与生态环境主管部门的监控设备联网。</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放工业废水的企业应当收集和处理产生的全部废水；含有毒有害水污染物的工业废水应当分类收集和处理，不得稀释排放。向污水集中处理设施排放工业废水的，应当按照国家有关规定进行预处理，达到处理工艺要求后方可排放至污水集中处理设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鼓励排放工业废水的企业采用高效清洁工艺设备，实行清洁生产和资源循环利用，减少水污染物排放量。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清江流域市（州）人民政府生态环境主管部门根据省人民政府下达的重点水污染物排放总量控制计划，制定本行政区域内清江流域重点水污染物排放总量控制实施方案，报市（州）人民政府批准后下达各县级人民政府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重点水污染物排放总量控制指标应当按照规定分解落实到排污单位，并向社会公布。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省人民政府生态环境主管部门应当会同有关主管部门确定清江流域重点排污单位名录，并向社会公布。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清江流域重点排污单位应当依法向社会公开其产生的主要污染物名称、排放方式、排放浓度和总量、超标排放情况，安装水污染物排放自动监测设备，确保其正常运行，并与生态环境主管部门的监控设备联网。</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禁止违反排污许可及国家有关规定向清江流域水体排放水污染物。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向水体排放污染物的企业事业单位和其他生产经营者应当按照国家和省的规定设置、监测、管理排污口，在排污口安装标注单位名称和排放污染物的种类、浓度及数量要求等内容的标志牌，并建立污水排放台账。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省和清江流域县级以上人民政府生态环境等主管部门应当对职责范围内设置的排污口建立档案制度和统计制度，组织开展排污口监测和溯源，明确排污口的责任者，对违法排污口依法予以处置。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清江流域县级、乡镇人民政府应当依照城乡污水处理设施建设规划，按期完成污水集中处理设施和配套管网的建设和改造，并加强对污水集中处理设施运营的监督管理。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城镇新区建设应当按照先规划后建设的原则，优先建设污水集中处理设施和配套管网，配套管网应当与污水集中处理设施同时设计、同时施工、同时投入使用，实行雨污分流。老旧城区应当推进污水收集管网和雨污分流设施建设和改造。</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城乡污水集中处理设施的运营单位或者污泥处理处置单位应当按照国家规定和标准对污泥进行无害化和资源化处置</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并对处置后的污泥去向、用途、用量等进行跟踪、记录，不得随意堆放和弃置，不得排入水体。属于危险废物的，应当委托有资质的单位处置。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省人民政府住房和城乡建设主管部门应当会同生态环境主管部门制定污泥处置规定，规范污泥处理设施的规划、建设以及污泥的收集、贮运、处理和监管等。</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清江流域县级人民政府应当根据地区特点，对未纳入城乡污水管网的村庄的生活污水，因地制宜建设分散式污水处理设施以及人工湿地、生态沟渠、生物滤池等，就近净化处理生活污水。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清江流域各级人民政府应当加强环境综合治理工作，开展生活垃圾分类收集、分类处理，因地制宜采取科学的垃圾处理模式，提高垃圾减量化、资源化、无害化处理水平。</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清江流域县级以上人民政府应当规范塑料废弃物的回收利用，推广可循环、易回收、可降解替代产品，有序禁止、限制部分塑料制品的生产、销售和使用，有效治理塑料污染。</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清江流域县级以上人民政府应当制定并组织实施本行政区域的化肥、农药减量计划，开展测土配方施肥和农作物病虫害统防统治与绿色防控；完善废旧农用薄膜以及化肥、农药包装废弃物等回收处理制度；推进农作物秸秆露天禁烧和综合利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禁止在清江流域内销售和使用剧毒、高毒、高残留农药及其混剂。省人民政府农业农村主管部门应当会同生态环境、自然资源等有关主管部门制定清江流域禁止使用的农药目录。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省和清江流域县级以上人民政府应当支持和推进绿色有机农业发展，引导建设示范基地，加大绿色有机农产品标准化种养技术和科技成果推广应用，支持创建绿色有机农产品品牌。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清江流域县级以上人民政府应当按照国家和省有关规定编制畜禽规模养殖污染防治规划，科学划定本行政区域畜禽养殖禁养区、限养区，并向社会公布。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禁养区内不得从事畜禽规模养殖。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限养区内畜禽规模养殖场（小区）应当严格控制畜禽养殖污染物排放总量，养殖产生的废弃物应当全部资源化利用或者经处理达到国家规定的排放标准方可排放。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省人民政府应当制定畜禽规模以下养殖污染防治办法，根据畜禽养殖数量确定畜禽规模以下养殖污染防治的标准和要求，实施分类管理。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省和清江流域县级以上人民政府农业农村等有关主管部门应当加强对水产养殖的监督管理，鼓励和支持水产生态健康养殖。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水产养殖生产者应当开展循环水、洁水养殖，加强养殖投入品管理，依法规范、限制使用抗生素等药品，开展水产环境和养殖尾水治理。水产养殖尾水排放应当符合相关规定和要求。</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禁止在江河、湖泊、水库、运河、塘堰养殖珍珠；禁止在江河、湖泊、水库、运河围栏围网（含网箱）养殖、投肥（粪）养殖。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禁止在渔用饲料中添加激素类药品和国家规定的其他禁用药品。禁止将原料药直接添加到饲料或者用于水产养殖。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省人民政府交通运输主管部门应当会同生态环境主管部门制定船舶污染防治规范；根据清江流域水环境质量状况和承载能力，对船舶实行总量控制、分类管理。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清江流域船舶应当按照船舶污染物排放相关标准和规范，完成升级改造。县级以上人民政府交通运输主管部门应当限期淘汰不能达到污染物排放标准的船舶，强制报废超过使用年限的船舶。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鼓励和支持清江流域船舶采用和升级改造为环保型动力。现有旅游船舶应当逐步改造为环保型动力，新入河旅游船舶应当采用环保型动力。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清江流域各类船舶应当按照国家有关规定配置和使用污水、废油、垃圾等污染物、废弃物收集或者处理设备和器材，并持有合法有效的防止水域环境污染的证书与文书。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港口、码头、装卸站和船舶修造厂应当设置船舶污染物、废弃物接收设施，接收靠泊船舶产生的残废油、含油污水、化学品洗舱水、生活污水和垃圾等，并按照规定转运和处置。未设置接收设施的，由县级以上人民政府责令限期设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清江流域禁止生产、销售和使用含磷的洗衣粉、洗涤剂、清洁剂等洗涤用品。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前款所称含磷洗涤用品，是指总磷酸盐含量（以五氧化二磷计）超过国家标准的洗涤用品。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清江流域发展旅游业应当以生态环境承载力为前提，旅游发展规划和旅游景点、线路、项目的确定应当符合清江流域水生态环境保护等规划和生态环境保护的要求，不得建设与周边环境不协调的建（构）筑物，对自然景观和环境造成破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清江流域经营餐饮、娱乐、住宿等服务行业的企业和个人，应当采用节能、节水、节材和有利于保护生态环境的技术、设备和设施，禁止将未经处理达标的污水排入水体。</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任何单位和个人不得在清江水域利用船舶或者浮动设施提供除成品快餐之外的餐饮服务。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清江水域综合枢纽坝址前的漂浮物和影响水生态环境的水生植物，由综合枢纽管理单位负责打捞。</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清江水域港口、码头作业范围内的漂浮物和影响水生态环境的水生植物，由港口、码头的经营管理单位负责打捞。</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清江水域其他范围内的漂浮物和影响水生态环境的水生植物，由所在地县级人民政府负责组织打捞。</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地下工程设施建设或者进行地下勘探、采矿、工程降排水、人工回灌补给地下水等可能干扰地下含水层的活动，应当采取防护性措施，防止污染地下水。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禁止利用渗井、渗坑、裂隙、溶洞以及私设暗管等方式向地下水体排放水污染物。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第四章  生态保护与修复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省和清江流域县级以上人民政府及其有关主管部门应当统筹流域山水林田湖草系统保护工作，建立健全水生态环境保护与修复的长效机制，促进水生态环境功能的保护与修复。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省和清江流域县级以上人民政府及其有关主管部门应当加强水源涵养林的建设与保护，加大退耕还林、还草、还湿力度，开展湿地保护与修复，防止湿地面积减少和生态功能退化。禁止侵占自然湿地等水源涵养空间，已侵占的应当限期予以恢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清江流域各级人民政府应当统筹生态清洁小流域建设，因地制宜制定生态清洁小流域建设方案，组织实施水土保持综合治理工程，采取综合治理措施控制土壤侵蚀，预防和治理水土流失。</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清江流域各级人民政府应当加强河流生态系统修复，适时组织符合生态要求的水生生物增殖放流，加强对外来水生物种的预警监测，维护水生生物多样性。</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水电站应当依法履行工程控制流域内水生生物保护义务，对渔业资源有影响的，应当建设渔业资源增殖放流站、洄游通道或者采取其他补救措施。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禁止使用外来物种、杂交物种、转基因物种或者其他非本地原有物种进行增殖放流。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禁止在禁渔区、禁渔期进行捕捞。禁止使用电鱼、毒鱼、炸鱼或者密眼网具等法律法规禁用的渔具、捕捞方法进行捕捞。</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省人民政府应当制定清江岸线保护和开发利用规划，统筹清江岸线资源的保护利用，严格分区管理与用途管制。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县级以上人民政府应当按照岸线保护和开发利用规划，加强水域岸线管理，严格控制与生态保护无关的开发活动，组织开展清江岸线生态保护和生态修复；在一定范围划定生态缓冲带，开展生态缓冲带综合整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省人民政府水行政主管部门应当加强清江流域水资源的统一调度，科学确定清江流域各河道的生态流量，保证生态用水需求，</w:t>
      </w:r>
      <w:r>
        <w:rPr>
          <w:rFonts w:ascii="仿宋_GB2312;仿宋" w:hAnsi="仿宋_GB2312;仿宋" w:cs="仿宋_GB2312;仿宋" w:hint="eastAsia" w:eastAsia="仿宋_GB2312;仿宋"/>
          <w:b w:val="false"/>
          <w:bCs/>
          <w:color w:val="000000"/>
          <w:sz w:val="32"/>
          <w:szCs w:val="32"/>
        </w:rPr>
        <w:t>保障枯水期和鱼类产卵期生态流量</w:t>
      </w:r>
      <w:r>
        <w:rPr>
          <w:rFonts w:ascii="仿宋_GB2312;仿宋" w:hAnsi="仿宋_GB2312;仿宋" w:cs="仿宋_GB2312;仿宋" w:hint="eastAsia" w:eastAsia="仿宋_GB2312;仿宋"/>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清江流域县级以上人民政府水行政、生态环境等有关主管部门应当确定本行政区域生态流量管控指标，建立生态流量监控平台，实现对流域内生态流量泄放情况的实时监控。水利水电、航运枢纽等工程应当将生态用水调度纳入日常运行调度规程，建立常规生态调度机制，保证清江流域生态流量。</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清江流域内的水电站应当配套建设生态流量泄放设施，合理安排闸坝下泄水量，保证最小下泄生态流量不低于本河段多年平均径流流量的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。来水流量不能满足最小下泄生态流量的，来水流量应当全部泄放。配套建设的生态流量泄放设施未建成、未经验收或者验收不合格的，水电站不得投入生产。</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清江流域内的水电站应当按照要求安装生态流量监测监控设施，实行在线实时监测监控，并及时将真实、完整的生态流量数据传输到政府有关部门生态流量监控平台。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清江流域严格控制新建水电站。禁止新建装机</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万千瓦以下的小水电站。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lang w:val="en"/>
        </w:rPr>
        <w:t>省人民政府生态环境主管部门应当会同发展改革、水行政等主管部门组织对清江流域内水电站进行生态环境影响评估。对不符合国家和省有关规定的，责令限期整改或者退出，同步开展生态修复。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严格限制在清江流域新建拦水坝。因供水、防洪、灌溉等确需建设的，应当依法进行环境影响评价。已经建成的，县级以上人民政府及其有关主管部门应当组织论证，对生态影响较大的拦水坝限期拆除。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清江流域各级人民政府以及自然资源等有关主管部门应当建立健全地质灾害防治工作责任制，制定地质灾害防治方案，组织开展地质灾害隐患点排查，加强地质灾害险情的动态监测和预报，及时发现、防范地质灾害。</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保障与监督管理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省人民政府应当加大对清江流域水生态环境保护的财政资金投入。清江流域县级以上人民政府应当建立生态保护和治理方面专项资金整合机制，统筹用于清江流域水生态环境保护。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省和清江流域县级以上人民政府应当建立政府引导、市场运作、社会参与的多元化投融资机制，鼓励和引导社会力量参与清江流域水生态环境保护建设。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第四十四条  </w:t>
      </w:r>
      <w:r>
        <w:rPr>
          <w:rFonts w:ascii="仿宋_GB2312;仿宋" w:hAnsi="仿宋_GB2312;仿宋" w:cs="仿宋_GB2312;仿宋" w:hint="eastAsia" w:eastAsia="仿宋_GB2312;仿宋"/>
          <w:spacing w:val="-3"/>
          <w:sz w:val="32"/>
          <w:szCs w:val="32"/>
        </w:rPr>
        <w:t>省人民政府应当建立健全清江流域生态补偿机制，制定清江流域生态保护补偿办法，实施清江流域生态保护修复奖励政策，加大清江流域生态补偿资金投入。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省人民政府及其有关主管部门应当引导受益地区与生态保护地区、流域上游与下游之间实施横向生态补偿。</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省和清江流域县级以上人民政府应当加大扶持力度，做好产业转型、就业帮扶、技能培训、社会保障、移民后扶等工作，保障和改善清江沿岸村（居）民的生产生活。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清江流域县级以上人民政府应当加强对饮用水水源地保护和管理，组织相关主管部门定期监测和评估本行政区域内饮用水水源、供水单位供水、用水端水质等饮用水安全状况。饮用水安全状况信息应当定期向社会公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清江流域县级以上人民政府有关主管部门应当对工业源、化学品仓储、污水处理厂、垃圾填埋场、采矿地、污染场地、尾矿库等固定风险源进行排查，建立风险源档案，定期开展风险评估和环境安全隐患排查。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省人民政府生态环境主管部门应当会同水行政等有关主管部门完善清江流域水环境监测网络，健全水环境监测、预警、应急系统，提高监测、预警和应急处置能力。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省和清江流域县级以上人民政府生态环境主管部门应当科学规划、合理设定清江流域水环境质量监测点位或者断面，加强对清江干支流交汇处、饮用水水源地、工业集聚区、人口密集区等区域的水质监测。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清江流域各级人民政府应当对本行政区域内水体进行排查，向社会公布黑臭水体名称、地点、责任人及达标期限</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编制黑臭水体整治方案，采取控源截污、垃圾清理、清淤疏浚、生态修复等措施综合整治，每半年向社会公开治理情况。</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清江流域县级以上人民政府及其有关部门应当组织开展跨行政区域水污染的联合监测、联合检查和联合执法，建立健全重大建设项目环境影响评价会商、监测数据实时共享、突发水环境事件应急预警和联动机制，加强水污染联合防治和纠纷协调处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任何单位和个人有权对清江流域水生态环境保护工作提出意见和建议，对污染水生态环境的行为进行投诉、举报。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省和清江流域县级以上人民政府有关主管部门应当完善水环境信息公开机制，依法公开排污口设置、水环境质量监测、重点排污单位名录、突发水环境事件处置、违法行为行政处罚等信息。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省和清江流域各级人民政府及有关主管部门应当完善公众参与程序，规划编制、项目审批、环境影响评价、预防和修复治理等与公众密切相关的事项，应当充分听取公众的意见。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省和清江流域县级以上人民政府生态环境等有关主管部门应当定期通报清江流域破坏水生态环境的违法行为，并将相关信息纳入省社会信用信息管理平台，作为有关主管部门实施失信联合惩戒的依据。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清江流域县级以上人民政府应当每年向本级人民代表大会或者其常务委员会报告清江流域水生态环境保护情况，对发生的重大水生态环境事件应当及时向本级人民代表大会常务委员会报告，依法接受监督。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第五十四条  </w:t>
      </w:r>
      <w:r>
        <w:rPr>
          <w:rFonts w:ascii="仿宋_GB2312;仿宋" w:hAnsi="仿宋_GB2312;仿宋" w:cs="仿宋_GB2312;仿宋" w:hint="eastAsia" w:eastAsia="仿宋_GB2312;仿宋"/>
          <w:spacing w:val="-3"/>
          <w:sz w:val="32"/>
          <w:szCs w:val="32"/>
        </w:rPr>
        <w:t>违反本条例，法律、法规有规定的，从其规定。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第五十五条</w:t>
      </w:r>
      <w:r>
        <w:rPr>
          <w:rFonts w:ascii="仿宋_GB2312;仿宋" w:hAnsi="仿宋_GB2312;仿宋" w:cs="仿宋_GB2312;仿宋" w:hint="eastAsia" w:eastAsia="仿宋_GB2312;仿宋"/>
          <w:spacing w:val="-3"/>
          <w:sz w:val="32"/>
          <w:szCs w:val="32"/>
        </w:rPr>
        <w:t xml:space="preserve">  违反本条例第二十一条第一款规定，将污泥排入水体的，由生态环境主管部门责令停止违法行为，限期采取治理措施，消除污染，处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万元以下罚款；逾期不采取治理措施的，生态环境主管部门可以指定有治理能力的单位代为治理，所需费用由违法者承担。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xml:space="preserve">  违反本条例第二十四条第二款规定，在清江流域销售剧毒、高毒、高残留农药及其混剂的，由农业农村主管部门责令停止销售，没收违法所得和违法经营的农药以及用于违法经营的工具、设备等，违法销售的农药货值金额不足</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万元的，并处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万元以下罚款，货值金额</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万元以上的，并处货值金额五倍以上十倍以下罚款。使用剧毒、高毒、高残留农药及其混剂，使用者为单位的，处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万元以下罚款；使用者为个人的，处</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千元以下罚款，情节严重的，处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第五十七条</w:t>
      </w:r>
      <w:r>
        <w:rPr>
          <w:rFonts w:ascii="仿宋_GB2312;仿宋" w:hAnsi="仿宋_GB2312;仿宋" w:cs="仿宋_GB2312;仿宋" w:hint="eastAsia" w:eastAsia="仿宋_GB2312;仿宋"/>
          <w:spacing w:val="-3"/>
          <w:sz w:val="32"/>
          <w:szCs w:val="32"/>
        </w:rPr>
        <w:t xml:space="preserve">  违反本条例第二十九条第一款规定，在清江流域生产、销售含磷洗涤用品的，由市场监督管理部门责令其停止生产、销售，没收违法生产、销售的产品和违法所得，并处违法生产、销售产品货值金额等值以上三倍以下罚款。服务业经营者以及工业企业使用含磷洗涤用品的，由生态环境主管部门予以警告，责令停止使用，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第五十八条</w:t>
      </w:r>
      <w:r>
        <w:rPr>
          <w:rFonts w:ascii="仿宋_GB2312;仿宋" w:hAnsi="仿宋_GB2312;仿宋" w:cs="仿宋_GB2312;仿宋" w:hint="eastAsia" w:eastAsia="仿宋_GB2312;仿宋"/>
          <w:spacing w:val="-3"/>
          <w:sz w:val="32"/>
          <w:szCs w:val="32"/>
        </w:rPr>
        <w:t xml:space="preserve">  违反本条例第三十条第三款规定，在清江水域利用船舶或者浮动设施提供除成品快餐之外的餐饮服务的，由市场监督管理部门责令停止违法行为，处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第五十九条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违反本条例第三十六条第三款规定，使用外来物种、杂交物种、转基因物种或者其他非本地原有物种进行增殖放流的，由农业农村主管部门责令限期捕回，处</w:t>
      </w:r>
      <w:r>
        <w:rPr>
          <w:rFonts w:eastAsia="仿宋_GB2312;仿宋" w:cs="仿宋_GB2312;仿宋" w:hint="eastAsia" w:ascii="仿宋_GB2312;仿宋" w:hAnsi="仿宋_GB2312;仿宋"/>
          <w:b w:val="false"/>
          <w:bCs/>
          <w:color w:val="000000"/>
          <w:sz w:val="32"/>
          <w:szCs w:val="32"/>
        </w:rPr>
        <w:t>5</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万元以下罚款；造成严重后果的，处</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100</w:t>
      </w:r>
      <w:r>
        <w:rPr>
          <w:rFonts w:ascii="仿宋_GB2312;仿宋" w:hAnsi="仿宋_GB2312;仿宋" w:cs="仿宋_GB2312;仿宋" w:hint="eastAsia" w:eastAsia="仿宋_GB2312;仿宋"/>
          <w:b w:val="false"/>
          <w:bCs/>
          <w:color w:val="000000"/>
          <w:sz w:val="32"/>
          <w:szCs w:val="32"/>
        </w:rPr>
        <w:t>万元以下罚款；逾期不捕回的，由农业农村主管部门代为捕回或者采取降低负面影响的措施，所需费用由违法者承担。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第六十条</w:t>
      </w:r>
      <w:r>
        <w:rPr>
          <w:rFonts w:ascii="仿宋_GB2312;仿宋" w:hAnsi="仿宋_GB2312;仿宋" w:cs="仿宋_GB2312;仿宋" w:hint="eastAsia" w:eastAsia="仿宋_GB2312;仿宋"/>
          <w:spacing w:val="-3"/>
          <w:sz w:val="32"/>
          <w:szCs w:val="32"/>
        </w:rPr>
        <w:t xml:space="preserve">  违反本条例第三十九条第二款规定，水电站未按照规定保证下泄生态流量的，由生态环境主管部门责令改正，处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万元以下罚款；拒不改正的，可以自责令改正之日的次日起，按照原处罚数额按日连续处罚；造成严重后果的，责令停产或者关闭。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配套建设的生态流量泄放设施未建成、未经验收或者经验收不合格，水电站即投入生产的，或者在验收中弄虚作假的，由生态环境主管部门责令限期改正，处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万元以下罚款；逾期不改正的，处</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200</w:t>
      </w:r>
      <w:r>
        <w:rPr>
          <w:rFonts w:ascii="仿宋_GB2312;仿宋" w:hAnsi="仿宋_GB2312;仿宋" w:cs="仿宋_GB2312;仿宋" w:hint="eastAsia" w:eastAsia="仿宋_GB2312;仿宋"/>
          <w:spacing w:val="-3"/>
          <w:sz w:val="32"/>
          <w:szCs w:val="32"/>
        </w:rPr>
        <w:t>万元以下罚款；对直接负责的主管人员和其他责任人员处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万元以下罚款；造成严重后果的，责令停产或者关闭。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第六十一条</w:t>
      </w:r>
      <w:r>
        <w:rPr>
          <w:rFonts w:ascii="仿宋_GB2312;仿宋" w:hAnsi="仿宋_GB2312;仿宋" w:cs="仿宋_GB2312;仿宋" w:hint="eastAsia" w:eastAsia="仿宋_GB2312;仿宋"/>
          <w:spacing w:val="-3"/>
          <w:sz w:val="32"/>
          <w:szCs w:val="32"/>
        </w:rPr>
        <w:t xml:space="preserve">  违反本条例第四十条第一款规定，在清江流域新建装机</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万千瓦以下小水电站的，由水行政主管部门责令限期拆除；逾期不拆除的，依法强制拆除，所需费用由违法者承担，并处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第六十二条</w:t>
      </w:r>
      <w:r>
        <w:rPr>
          <w:rFonts w:ascii="仿宋_GB2312;仿宋" w:hAnsi="仿宋_GB2312;仿宋" w:cs="仿宋_GB2312;仿宋" w:hint="eastAsia" w:eastAsia="仿宋_GB2312;仿宋"/>
          <w:spacing w:val="-3"/>
          <w:sz w:val="32"/>
          <w:szCs w:val="32"/>
        </w:rPr>
        <w:t xml:space="preserve">  国家机关及其工作人员在清江流域水生态环境保护工作中滥用职权、玩忽职守、徇私舞弊的，由其主管机关或者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spacing w:val="-3"/>
          <w:sz w:val="32"/>
          <w:szCs w:val="32"/>
        </w:rPr>
        <w:t>第六十三条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2020</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20"/>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Style13">
    <w:name w:val="页眉 字符"/>
    <w:qFormat/>
    <w:rPr>
      <w:rFonts w:ascii="Calibri" w:hAnsi="Calibri" w:eastAsia="宋体" w:cs="Times New Roman"/>
      <w:kern w:val="2"/>
      <w:sz w:val="18"/>
      <w:szCs w:val="18"/>
    </w:rPr>
  </w:style>
  <w:style w:type="character" w:styleId="BodyTextChar">
    <w:name w:val="Body Text Char"/>
    <w:basedOn w:val="Style12"/>
    <w:qFormat/>
    <w:rPr>
      <w:rFonts w:ascii="Calibri" w:hAnsi="Calibri" w:eastAsia="华文中宋" w:cs="Times New Roman"/>
      <w:b/>
      <w:bCs/>
      <w:sz w:val="44"/>
      <w:szCs w:val="32"/>
    </w:rPr>
  </w:style>
  <w:style w:type="character" w:styleId="Style14">
    <w:name w:val="批注框文本 字符"/>
    <w:qFormat/>
    <w:rPr>
      <w:rFonts w:ascii="Calibri" w:hAnsi="Calibri" w:eastAsia="宋体" w:cs="Times New Roman"/>
      <w:kern w:val="2"/>
      <w:sz w:val="18"/>
      <w:szCs w:val="18"/>
    </w:rPr>
  </w:style>
  <w:style w:type="character" w:styleId="Style15">
    <w:name w:val="页脚 字符"/>
    <w:qFormat/>
    <w:rPr>
      <w:rFonts w:ascii="Calibri" w:hAnsi="Calibri" w:eastAsia="宋体" w:cs="Times New Roman"/>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widowControl/>
    </w:pPr>
    <w:rPr>
      <w:rFonts w:ascii="Calibri" w:hAnsi="Calibri" w:eastAsia="仿宋_GB2312;仿宋" w:cs="Times New Roman"/>
      <w:sz w:val="18"/>
      <w:szCs w:val="18"/>
    </w:rPr>
  </w:style>
  <w:style w:type="paragraph" w:styleId="BodyTextIndent">
    <w:name w:val="Body Text Indent"/>
    <w:basedOn w:val="Normal"/>
    <w:next w:val="Style20"/>
    <w:pPr>
      <w:ind w:firstLine="630" w:start="0" w:end="0"/>
    </w:pPr>
    <w:rPr>
      <w:rFonts w:ascii="仿宋_GB2312;仿宋" w:hAnsi="仿宋_GB2312;仿宋" w:eastAsia="仿宋_GB2312;仿宋" w:cs="Times New Roman"/>
      <w:sz w:val="32"/>
      <w:szCs w:val="20"/>
    </w:rPr>
  </w:style>
  <w:style w:type="paragraph" w:styleId="2">
    <w:name w:val="正文首行缩进 2"/>
    <w:basedOn w:val="BodyTextIndent"/>
    <w:next w:val="Normal"/>
    <w:qFormat/>
    <w:pPr>
      <w:ind w:firstLineChars="200" w:startChars="0" w:start="0" w:endChars="0" w:end="0"/>
    </w:pPr>
    <w:rPr/>
  </w:style>
  <w:style w:type="paragraph" w:styleId="Style17">
    <w:name w:val="纯文本"/>
    <w:basedOn w:val="Normal"/>
    <w:qFormat/>
    <w:pPr/>
    <w:rPr>
      <w:rFonts w:ascii="宋体" w:hAnsi="宋体" w:cs="Courier New"/>
      <w:szCs w:val="21"/>
    </w:rPr>
  </w:style>
  <w:style w:type="paragraph" w:styleId="Style18">
    <w:name w:val="普通(网站)"/>
    <w:basedOn w:val="Normal"/>
    <w:qFormat/>
    <w:pPr>
      <w:spacing w:before="280" w:after="280"/>
      <w:ind w:hanging="0" w:start="0" w:end="0"/>
      <w:jc w:val="start"/>
    </w:pPr>
    <w:rPr>
      <w:rFonts w:ascii="Calibri" w:hAnsi="Calibri" w:eastAsia="仿宋_GB2312;仿宋" w:cs="Times New Roman"/>
      <w:kern w:val="0"/>
      <w:sz w:val="24"/>
      <w:szCs w:val="32"/>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9">
    <w:name w:val="正文首行缩进"/>
    <w:basedOn w:val="BodyText"/>
    <w:qFormat/>
    <w:pPr>
      <w:ind w:firstLineChars="100" w:startChars="0" w:start="0" w:endChars="0" w:end="0"/>
    </w:pPr>
    <w:rPr>
      <w:rFonts w:ascii="Calibri" w:hAnsi="Calibri" w:cs="Calibri"/>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20">
    <w:name w:val="正文缩进"/>
    <w:basedOn w:val="Normal"/>
    <w:qFormat/>
    <w:pPr>
      <w:ind w:firstLineChars="200" w:startChars="0" w:start="0" w:endChars="0" w:end="0"/>
    </w:pPr>
    <w:rPr>
      <w:rFonts w:ascii="Times New Roman" w:hAnsi="Times New Roman" w:eastAsia="仿宋" w:cs="Times New Roman"/>
      <w:sz w:val="32"/>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admin</cp:lastModifiedBy>
  <cp:lastPrinted>2022-11-15T17:14:00Z</cp:lastPrinted>
  <dcterms:modified xsi:type="dcterms:W3CDTF">2023-01-16T18:37:26Z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