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594"/>
        <w:jc w:val="both"/>
        <w:textAlignment w:val="auto"/>
        <w:rPr>
          <w:rFonts w:ascii="宋体" w:hAnsi="宋体" w:eastAsia="宋体" w:cs="宋体" w:hint="eastAsia"/>
          <w:kern w:val="0"/>
          <w:sz w:val="44"/>
          <w:szCs w:val="44"/>
        </w:rPr>
      </w:pPr>
      <w:r>
        <w:rPr>
          <w:rFonts w:eastAsia="宋体" w:cs="宋体" w:hint="eastAsia" w:ascii="宋体" w:hAnsi="宋体"/>
          <w:kern w:val="0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594"/>
        <w:jc w:val="center"/>
        <w:textAlignment w:val="auto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cs="黑体" w:hint="eastAsia" w:eastAsia="黑体"/>
          <w:color w:val="000000"/>
          <w:sz w:val="44"/>
          <w:szCs w:val="44"/>
        </w:rPr>
        <w:t>重庆市人民代表大会常务委员会关于废止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594"/>
        <w:jc w:val="center"/>
        <w:textAlignment w:val="auto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cs="黑体" w:hint="eastAsia" w:eastAsia="黑体"/>
          <w:color w:val="000000"/>
          <w:sz w:val="44"/>
          <w:szCs w:val="44"/>
        </w:rPr>
        <w:t>《重庆市新闻媒体广告管理条例》的决定</w:t>
      </w:r>
    </w:p>
    <w:p>
      <w:pPr>
        <w:pStyle w:val="BodyText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eastAsia="黑体" w:cs="黑体" w:hint="eastAsia" w:ascii="黑体" w:hAnsi="黑体"/>
          <w:color w:val="000000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594"/>
        <w:jc w:val="center"/>
        <w:textAlignment w:val="auto"/>
        <w:rPr>
          <w:rFonts w:ascii="楷体_GB2312" w:hAnsi="楷体_GB2312" w:eastAsia="楷体_GB2312" w:cs="楷体_GB2312" w:hint="eastAsia"/>
          <w:i w:val="false"/>
          <w:iCs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方正楷体_GBK" w:hAnsi="方正楷体_GBK" w:cs="Times New Roman" w:hint="eastAsia" w:eastAsia="方正楷体_GBK"/>
          <w:kern w:val="0"/>
          <w:sz w:val="32"/>
          <w:szCs w:val="32"/>
        </w:rPr>
        <w:t>（</w:t>
      </w:r>
      <w:r>
        <w:rPr>
          <w:rFonts w:eastAsia="楷体_GB2312" w:cs="楷体_GB2312" w:hint="eastAsia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32"/>
          <w:szCs w:val="32"/>
        </w:rPr>
        <w:t>2022</w:t>
      </w:r>
      <w:r>
        <w:rPr>
          <w:rFonts w:ascii="楷体_GB2312" w:hAnsi="楷体_GB2312" w:cs="楷体_GB2312" w:hint="eastAsia" w:eastAsia="楷体_GB2312"/>
          <w:i w:val="false"/>
          <w:iCs w:val="false"/>
          <w:caps w:val="false"/>
          <w:smallCaps w:val="false"/>
          <w:color w:val="000000"/>
          <w:spacing w:val="0"/>
          <w:sz w:val="32"/>
          <w:szCs w:val="32"/>
        </w:rPr>
        <w:t>年</w:t>
      </w:r>
      <w:r>
        <w:rPr>
          <w:rFonts w:eastAsia="楷体_GB2312" w:cs="楷体_GB2312" w:hint="eastAsia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32"/>
          <w:szCs w:val="32"/>
        </w:rPr>
        <w:t>12</w:t>
      </w:r>
      <w:r>
        <w:rPr>
          <w:rFonts w:ascii="楷体_GB2312" w:hAnsi="楷体_GB2312" w:cs="楷体_GB2312" w:hint="eastAsia" w:eastAsia="楷体_GB2312"/>
          <w:i w:val="false"/>
          <w:iCs w:val="false"/>
          <w:caps w:val="false"/>
          <w:smallCaps w:val="false"/>
          <w:color w:val="000000"/>
          <w:spacing w:val="0"/>
          <w:sz w:val="32"/>
          <w:szCs w:val="32"/>
        </w:rPr>
        <w:t>月</w:t>
      </w:r>
      <w:r>
        <w:rPr>
          <w:rFonts w:eastAsia="楷体_GB2312" w:cs="楷体_GB2312" w:hint="eastAsia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32"/>
          <w:szCs w:val="32"/>
        </w:rPr>
        <w:t>14</w:t>
      </w:r>
      <w:r>
        <w:rPr>
          <w:rFonts w:ascii="楷体_GB2312" w:hAnsi="楷体_GB2312" w:cs="楷体_GB2312" w:hint="eastAsia" w:eastAsia="楷体_GB2312"/>
          <w:i w:val="false"/>
          <w:iCs w:val="false"/>
          <w:caps w:val="false"/>
          <w:smallCaps w:val="false"/>
          <w:color w:val="000000"/>
          <w:spacing w:val="0"/>
          <w:sz w:val="32"/>
          <w:szCs w:val="32"/>
        </w:rPr>
        <w:t>日重庆市第五届人民代表大会常务委员会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594"/>
        <w:jc w:val="center"/>
        <w:textAlignment w:val="auto"/>
        <w:rPr>
          <w:rFonts w:ascii="方正楷体_GBK" w:hAnsi="方正楷体_GBK" w:eastAsia="方正楷体_GBK" w:cs="Times New Roman" w:hint="eastAsia"/>
          <w:kern w:val="0"/>
          <w:sz w:val="32"/>
          <w:szCs w:val="32"/>
        </w:rPr>
      </w:pPr>
      <w:r>
        <w:rPr>
          <w:rFonts w:ascii="楷体_GB2312" w:hAnsi="楷体_GB2312" w:cs="楷体_GB2312" w:hint="eastAsia" w:eastAsia="楷体_GB2312"/>
          <w:i w:val="false"/>
          <w:iCs w:val="false"/>
          <w:caps w:val="false"/>
          <w:smallCaps w:val="false"/>
          <w:color w:val="000000"/>
          <w:spacing w:val="0"/>
          <w:sz w:val="32"/>
          <w:szCs w:val="32"/>
        </w:rPr>
        <w:t>第三十八次会议通过</w:t>
      </w:r>
      <w:r>
        <w:rPr>
          <w:rFonts w:ascii="方正楷体_GBK" w:hAnsi="方正楷体_GBK" w:cs="Times New Roman" w:hint="eastAsia" w:eastAsia="方正楷体_GBK"/>
          <w:kern w:val="0"/>
          <w:sz w:val="32"/>
          <w:szCs w:val="32"/>
        </w:rPr>
        <w:t>）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594"/>
        <w:textAlignment w:val="auto"/>
        <w:rPr>
          <w:rFonts w:ascii="CESI仿宋-GB2312;仿宋" w:hAnsi="CESI仿宋-GB2312;仿宋" w:eastAsia="CESI仿宋-GB2312;仿宋" w:cs="CESI仿宋-GB2312;仿宋" w:hint="eastAsia"/>
          <w:color w:val="000000"/>
          <w:kern w:val="0"/>
          <w:sz w:val="32"/>
          <w:szCs w:val="32"/>
        </w:rPr>
      </w:pPr>
      <w:r>
        <w:rPr>
          <w:rFonts w:eastAsia="CESI仿宋-GB2312;仿宋" w:cs="CESI仿宋-GB2312;仿宋" w:hint="eastAsia" w:ascii="CESI仿宋-GB2312;仿宋" w:hAnsi="CESI仿宋-GB2312;仿宋"/>
          <w:color w:val="000000"/>
          <w:kern w:val="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594"/>
        <w:ind w:firstLineChars="200" w:startChars="0" w:start="0" w:endChars="0" w:end="0"/>
        <w:textAlignment w:val="auto"/>
        <w:rPr>
          <w:rFonts w:ascii="仿宋_GB2312;仿宋" w:hAnsi="仿宋_GB2312;仿宋" w:eastAsia="仿宋_GB2312;仿宋" w:cs="仿宋_GB2312;仿宋" w:hint="eastAsia"/>
          <w:kern w:val="0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kern w:val="0"/>
          <w:sz w:val="32"/>
          <w:szCs w:val="32"/>
        </w:rPr>
        <w:t>重庆市第五届人民代表大会常务委员会第三十八次会议决定，废止《重庆市新闻媒体广告管理条例》（</w:t>
      </w:r>
      <w:r>
        <w:rPr>
          <w:rFonts w:eastAsia="仿宋_GB2312;仿宋" w:cs="仿宋_GB2312;仿宋" w:hint="eastAsia" w:ascii="Times New Roman" w:hAnsi="Times New Roman"/>
          <w:kern w:val="0"/>
          <w:sz w:val="32"/>
          <w:szCs w:val="32"/>
        </w:rPr>
        <w:t>1999</w:t>
      </w:r>
      <w:r>
        <w:rPr>
          <w:rFonts w:ascii="仿宋_GB2312;仿宋" w:hAnsi="仿宋_GB2312;仿宋" w:cs="仿宋_GB2312;仿宋" w:hint="eastAsia" w:eastAsia="仿宋_GB2312;仿宋"/>
          <w:kern w:val="0"/>
          <w:sz w:val="32"/>
          <w:szCs w:val="32"/>
        </w:rPr>
        <w:t>年</w:t>
      </w:r>
      <w:r>
        <w:rPr>
          <w:rFonts w:eastAsia="仿宋_GB2312;仿宋" w:cs="仿宋_GB2312;仿宋" w:hint="eastAsia" w:ascii="Times New Roman" w:hAnsi="Times New Roman"/>
          <w:kern w:val="0"/>
          <w:sz w:val="32"/>
          <w:szCs w:val="32"/>
        </w:rPr>
        <w:t>11</w:t>
      </w:r>
      <w:r>
        <w:rPr>
          <w:rFonts w:ascii="仿宋_GB2312;仿宋" w:hAnsi="仿宋_GB2312;仿宋" w:cs="仿宋_GB2312;仿宋" w:hint="eastAsia" w:eastAsia="仿宋_GB2312;仿宋"/>
          <w:kern w:val="0"/>
          <w:sz w:val="32"/>
          <w:szCs w:val="32"/>
        </w:rPr>
        <w:t>月</w:t>
      </w:r>
      <w:r>
        <w:rPr>
          <w:rFonts w:eastAsia="仿宋_GB2312;仿宋" w:cs="仿宋_GB2312;仿宋" w:hint="eastAsia" w:ascii="Times New Roman" w:hAnsi="Times New Roman"/>
          <w:kern w:val="0"/>
          <w:sz w:val="32"/>
          <w:szCs w:val="32"/>
        </w:rPr>
        <w:t>25</w:t>
      </w:r>
      <w:r>
        <w:rPr>
          <w:rFonts w:ascii="仿宋_GB2312;仿宋" w:hAnsi="仿宋_GB2312;仿宋" w:cs="仿宋_GB2312;仿宋" w:hint="eastAsia" w:eastAsia="仿宋_GB2312;仿宋"/>
          <w:kern w:val="0"/>
          <w:sz w:val="32"/>
          <w:szCs w:val="32"/>
        </w:rPr>
        <w:t xml:space="preserve">日重庆市第一届人民代表大会常务委员会第二十次会议通过  </w:t>
      </w:r>
      <w:r>
        <w:rPr>
          <w:rFonts w:eastAsia="仿宋_GB2312;仿宋" w:cs="仿宋_GB2312;仿宋" w:hint="eastAsia" w:ascii="Times New Roman" w:hAnsi="Times New Roman"/>
          <w:kern w:val="0"/>
          <w:sz w:val="32"/>
          <w:szCs w:val="32"/>
        </w:rPr>
        <w:t>2007</w:t>
      </w:r>
      <w:r>
        <w:rPr>
          <w:rFonts w:ascii="仿宋_GB2312;仿宋" w:hAnsi="仿宋_GB2312;仿宋" w:cs="仿宋_GB2312;仿宋" w:hint="eastAsia" w:eastAsia="仿宋_GB2312;仿宋"/>
          <w:kern w:val="0"/>
          <w:sz w:val="32"/>
          <w:szCs w:val="32"/>
        </w:rPr>
        <w:t>年</w:t>
      </w:r>
      <w:r>
        <w:rPr>
          <w:rFonts w:eastAsia="仿宋_GB2312;仿宋" w:cs="仿宋_GB2312;仿宋" w:hint="eastAsia" w:ascii="Times New Roman" w:hAnsi="Times New Roman"/>
          <w:kern w:val="0"/>
          <w:sz w:val="32"/>
          <w:szCs w:val="32"/>
        </w:rPr>
        <w:t>7</w:t>
      </w:r>
      <w:r>
        <w:rPr>
          <w:rFonts w:ascii="仿宋_GB2312;仿宋" w:hAnsi="仿宋_GB2312;仿宋" w:cs="仿宋_GB2312;仿宋" w:hint="eastAsia" w:eastAsia="仿宋_GB2312;仿宋"/>
          <w:kern w:val="0"/>
          <w:sz w:val="32"/>
          <w:szCs w:val="32"/>
        </w:rPr>
        <w:t>月</w:t>
      </w:r>
      <w:r>
        <w:rPr>
          <w:rFonts w:eastAsia="仿宋_GB2312;仿宋" w:cs="仿宋_GB2312;仿宋" w:hint="eastAsia" w:ascii="Times New Roman" w:hAnsi="Times New Roman"/>
          <w:kern w:val="0"/>
          <w:sz w:val="32"/>
          <w:szCs w:val="32"/>
        </w:rPr>
        <w:t>29</w:t>
      </w:r>
      <w:r>
        <w:rPr>
          <w:rFonts w:ascii="仿宋_GB2312;仿宋" w:hAnsi="仿宋_GB2312;仿宋" w:cs="仿宋_GB2312;仿宋" w:hint="eastAsia" w:eastAsia="仿宋_GB2312;仿宋"/>
          <w:kern w:val="0"/>
          <w:sz w:val="32"/>
          <w:szCs w:val="32"/>
        </w:rPr>
        <w:t>日重庆市第二届人民代表大会常务委员会第三十二次会议修订）。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594"/>
        <w:ind w:firstLineChars="200" w:startChars="0" w:start="0" w:endChars="0" w:end="0"/>
        <w:textAlignment w:val="auto"/>
        <w:rPr>
          <w:rFonts w:ascii="仿宋_GB2312;仿宋" w:hAnsi="仿宋_GB2312;仿宋" w:eastAsia="仿宋_GB2312;仿宋" w:cs="仿宋_GB2312;仿宋" w:hint="eastAsia"/>
          <w:kern w:val="0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kern w:val="0"/>
          <w:sz w:val="32"/>
          <w:szCs w:val="32"/>
        </w:rPr>
        <w:t>本决定自公布之日起施行。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594"/>
        <w:textAlignment w:val="auto"/>
        <w:rPr>
          <w:rFonts w:ascii="仿宋_GB2312;仿宋" w:hAnsi="仿宋_GB2312;仿宋" w:eastAsia="仿宋_GB2312;仿宋" w:cs="仿宋_GB2312;仿宋" w:hint="eastAsia"/>
          <w:kern w:val="0"/>
          <w:sz w:val="32"/>
          <w:szCs w:val="32"/>
        </w:rPr>
      </w:pPr>
      <w:r>
        <w:rPr>
          <w:rFonts w:eastAsia="仿宋_GB2312;仿宋" w:cs="仿宋_GB2312;仿宋" w:hint="eastAsia" w:ascii="仿宋_GB2312;仿宋" w:hAnsi="仿宋_GB2312;仿宋"/>
          <w:kern w:val="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spacing w:lineRule="exact" w:line="594"/>
        <w:jc w:val="center"/>
        <w:textAlignment w:val="auto"/>
        <w:rPr>
          <w:rFonts w:ascii="CESI仿宋-GB2312;仿宋" w:hAnsi="CESI仿宋-GB2312;仿宋" w:eastAsia="CESI仿宋-GB2312;仿宋" w:cs="CESI仿宋-GB2312;仿宋" w:hint="eastAsia"/>
          <w:bCs/>
          <w:sz w:val="44"/>
          <w:szCs w:val="44"/>
        </w:rPr>
      </w:pPr>
      <w:r>
        <w:rPr>
          <w:rFonts w:eastAsia="CESI仿宋-GB2312;仿宋" w:cs="CESI仿宋-GB2312;仿宋" w:hint="eastAsia" w:ascii="CESI仿宋-GB2312;仿宋" w:hAnsi="CESI仿宋-GB2312;仿宋"/>
          <w:bCs/>
          <w:sz w:val="44"/>
          <w:szCs w:val="44"/>
        </w:rPr>
        <w:t xml:space="preserve"> 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594"/>
        <w:jc w:val="center"/>
        <w:textAlignment w:val="auto"/>
        <w:rPr>
          <w:rFonts w:ascii="CESI仿宋-GB2312;仿宋" w:hAnsi="CESI仿宋-GB2312;仿宋" w:eastAsia="CESI仿宋-GB2312;仿宋" w:cs="CESI仿宋-GB2312;仿宋" w:hint="eastAsia"/>
          <w:bCs/>
          <w:color w:val="000000"/>
          <w:sz w:val="44"/>
          <w:szCs w:val="44"/>
        </w:rPr>
      </w:pPr>
      <w:r>
        <w:rPr>
          <w:rFonts w:eastAsia="CESI仿宋-GB2312;仿宋" w:cs="CESI仿宋-GB2312;仿宋" w:hint="eastAsia" w:ascii="CESI仿宋-GB2312;仿宋" w:hAnsi="CESI仿宋-GB2312;仿宋"/>
          <w:bCs/>
          <w:color w:val="000000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594" w:before="0" w:after="120"/>
        <w:jc w:val="center"/>
        <w:textAlignment w:val="auto"/>
        <w:rPr>
          <w:rFonts w:ascii="CESI仿宋-GB2312;仿宋" w:hAnsi="CESI仿宋-GB2312;仿宋" w:eastAsia="CESI仿宋-GB2312;仿宋" w:cs="CESI仿宋-GB2312;仿宋" w:hint="eastAsia"/>
          <w:color w:val="000000"/>
          <w:sz w:val="44"/>
          <w:szCs w:val="44"/>
        </w:rPr>
      </w:pPr>
      <w:r>
        <w:rPr>
          <w:rFonts w:eastAsia="CESI仿宋-GB2312;仿宋" w:cs="CESI仿宋-GB2312;仿宋" w:hint="eastAsia" w:ascii="CESI仿宋-GB2312;仿宋" w:hAnsi="CESI仿宋-GB2312;仿宋"/>
          <w:color w:val="000000"/>
          <w:sz w:val="44"/>
          <w:szCs w:val="44"/>
        </w:rPr>
      </w:r>
    </w:p>
    <w:p>
      <w:pPr>
        <w:pStyle w:val="BodyText"/>
        <w:rPr>
          <w:rFonts w:ascii="CESI仿宋-GB2312;仿宋" w:hAnsi="CESI仿宋-GB2312;仿宋" w:eastAsia="CESI仿宋-GB2312;仿宋" w:cs="CESI仿宋-GB2312;仿宋" w:hint="eastAsia"/>
          <w:color w:val="000000"/>
          <w:sz w:val="44"/>
          <w:szCs w:val="44"/>
        </w:rPr>
      </w:pPr>
      <w:r>
        <w:rPr>
          <w:rFonts w:eastAsia="CESI仿宋-GB2312;仿宋" w:cs="CESI仿宋-GB2312;仿宋" w:hint="eastAsia" w:ascii="CESI仿宋-GB2312;仿宋" w:hAnsi="CESI仿宋-GB2312;仿宋"/>
          <w:color w:val="000000"/>
          <w:sz w:val="44"/>
          <w:szCs w:val="44"/>
        </w:rPr>
      </w:r>
    </w:p>
    <w:p>
      <w:pPr>
        <w:pStyle w:val="Style17"/>
        <w:rPr>
          <w:rFonts w:ascii="CESI仿宋-GB2312;仿宋" w:hAnsi="CESI仿宋-GB2312;仿宋" w:eastAsia="CESI仿宋-GB2312;仿宋" w:cs="CESI仿宋-GB2312;仿宋" w:hint="eastAsia"/>
          <w:color w:val="000000"/>
          <w:sz w:val="44"/>
          <w:szCs w:val="44"/>
        </w:rPr>
      </w:pPr>
      <w:r>
        <w:rPr>
          <w:rFonts w:eastAsia="CESI仿宋-GB2312;仿宋" w:cs="CESI仿宋-GB2312;仿宋" w:hint="eastAsia" w:ascii="CESI仿宋-GB2312;仿宋" w:hAnsi="CESI仿宋-GB2312;仿宋"/>
          <w:color w:val="000000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594" w:before="0" w:after="120"/>
        <w:jc w:val="center"/>
        <w:textAlignment w:val="auto"/>
        <w:rPr>
          <w:rFonts w:ascii="CESI仿宋-GB2312;仿宋" w:hAnsi="CESI仿宋-GB2312;仿宋" w:eastAsia="CESI仿宋-GB2312;仿宋" w:cs="CESI仿宋-GB2312;仿宋" w:hint="eastAsia"/>
          <w:color w:val="000000"/>
          <w:sz w:val="44"/>
          <w:szCs w:val="44"/>
        </w:rPr>
      </w:pPr>
      <w:r>
        <w:rPr>
          <w:rFonts w:eastAsia="CESI仿宋-GB2312;仿宋" w:cs="CESI仿宋-GB2312;仿宋" w:hint="eastAsia" w:ascii="CESI仿宋-GB2312;仿宋" w:hAnsi="CESI仿宋-GB2312;仿宋"/>
          <w:color w:val="000000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94"/>
        <w:jc w:val="both"/>
        <w:textAlignment w:val="auto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eastAsia="黑体" w:cs="黑体" w:hint="eastAsia" w:ascii="黑体" w:hAnsi="黑体"/>
          <w:color w:val="000000"/>
          <w:sz w:val="44"/>
          <w:szCs w:val="44"/>
        </w:rPr>
      </w:r>
    </w:p>
    <w:sectPr>
      <w:footerReference w:type="even" r:id="rId2"/>
      <w:footerReference w:type="default" r:id="rId3"/>
      <w:type w:val="nextPage"/>
      <w:pgSz w:w="11906" w:h="16838"/>
      <w:pgMar w:left="1446" w:right="1446" w:gutter="0" w:header="0" w:top="1985" w:footer="1134" w:bottom="164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方正仿宋_GBK">
    <w:charset w:val="86"/>
    <w:family w:val="script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仿宋_GB2312">
    <w:altName w:val="仿宋"/>
    <w:charset w:val="86"/>
    <w:family w:val="modern"/>
    <w:pitch w:val="default"/>
  </w:font>
  <w:font w:name="Times New Roman">
    <w:charset w:val="00" w:characterSet="windows-1252"/>
    <w:family w:val="roman"/>
    <w:pitch w:val="default"/>
  </w:font>
  <w:font w:name="Helvetica">
    <w:altName w:val="Arial"/>
    <w:charset w:val="00" w:characterSet="windows-1252"/>
    <w:family w:val="swiss"/>
    <w:pitch w:val="default"/>
  </w:font>
  <w:font w:name="黑体">
    <w:charset w:val="86"/>
    <w:family w:val="auto"/>
    <w:pitch w:val="default"/>
  </w:font>
  <w:font w:name="方正楷体_GBK">
    <w:charset w:val="86"/>
    <w:family w:val="script"/>
    <w:pitch w:val="default"/>
  </w:font>
  <w:font w:name="楷体_GB2312">
    <w:charset w:val="86"/>
    <w:family w:val="modern"/>
    <w:pitch w:val="default"/>
  </w:font>
  <w:font w:name="CESI仿宋-GB2312">
    <w:altName w:val="仿宋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1120"/>
      <w:rPr/>
    </w:pPr>
    <w:r>
      <w:rPr>
        <w:rFonts w:eastAsia="仿宋_GB2312;仿宋" w:cs="宋体" w:hint="eastAsia" w:ascii="宋体" w:hAnsi="宋体"/>
        <w:sz w:val="28"/>
        <w:szCs w:val="28"/>
      </w:rPr>
      <w:t xml:space="preserve">  </w:t>
    </w:r>
    <w:r>
      <w:rPr>
        <w:rFonts w:eastAsia="仿宋_GB2312;仿宋" w:cs="宋体" w:ascii="宋体" w:hAnsi="宋体"/>
        <w:sz w:val="28"/>
        <w:szCs w:val="28"/>
      </w:rPr>
      <w:t xml:space="preserve">— </w:t>
    </w:r>
    <w:r>
      <w:rPr>
        <w:rFonts w:eastAsia="仿宋_GB2312;仿宋" w:cs="宋体" w:ascii="宋体" w:hAnsi="宋体"/>
        <w:sz w:val="28"/>
        <w:szCs w:val="28"/>
      </w:rPr>
      <w:fldChar w:fldCharType="begin"/>
    </w:r>
    <w:r>
      <w:rPr>
        <w:rFonts w:eastAsia="仿宋_GB2312;仿宋" w:cs="宋体" w:ascii="宋体" w:hAnsi="宋体"/>
        <w:sz w:val="28"/>
        <w:szCs w:val="28"/>
      </w:rPr>
      <w:instrText xml:space="preserve"> PAGE </w:instrText>
    </w:r>
    <w:r>
      <w:rPr>
        <w:rFonts w:eastAsia="仿宋_GB2312;仿宋" w:cs="宋体" w:ascii="宋体" w:hAnsi="宋体"/>
        <w:sz w:val="28"/>
        <w:szCs w:val="28"/>
      </w:rPr>
      <w:fldChar w:fldCharType="separate"/>
    </w:r>
    <w:r>
      <w:rPr>
        <w:rFonts w:eastAsia="仿宋_GB2312;仿宋" w:cs="宋体" w:ascii="宋体" w:hAnsi="宋体"/>
        <w:sz w:val="28"/>
        <w:szCs w:val="28"/>
      </w:rPr>
      <w:t>0</w:t>
    </w:r>
    <w:r>
      <w:rPr>
        <w:rFonts w:eastAsia="仿宋_GB2312;仿宋" w:cs="宋体" w:ascii="宋体" w:hAnsi="宋体"/>
        <w:sz w:val="28"/>
        <w:szCs w:val="28"/>
      </w:rPr>
      <w:fldChar w:fldCharType="end"/>
    </w:r>
    <w:r>
      <w:rPr>
        <w:rFonts w:eastAsia="仿宋_GB2312;仿宋" w:cs="宋体" w:ascii="宋体" w:hAnsi="宋体"/>
        <w:sz w:val="28"/>
        <w:szCs w:val="28"/>
      </w:rPr>
      <w:t xml:space="preserve"> —</w:t>
    </w:r>
    <w:r>
      <w:rPr>
        <w:rFonts w:eastAsia="仿宋_GB2312;仿宋" w:cs="宋体" w:hint="eastAsia" w:ascii="宋体" w:hAnsi="宋体"/>
        <w:sz w:val="28"/>
        <w:szCs w:val="28"/>
      </w:rPr>
      <w:t xml:space="preserve"> </w:t>
    </w:r>
    <w:r>
      <w:rPr>
        <w:rFonts w:eastAsia="仿宋_GB2312;仿宋" w:cs="宋体" w:ascii="宋体" w:hAnsi="宋体"/>
        <w:sz w:val="28"/>
        <w:szCs w:val="28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eastAsia="宋体" w:cs="宋体" w:ascii="宋体" w:hAnsi="宋体"/>
        <w:sz w:val="28"/>
        <w:szCs w:val="28"/>
      </w:rPr>
      <w:t xml:space="preserve">— </w:t>
    </w:r>
    <w:r>
      <w:rPr>
        <w:rFonts w:eastAsia="宋体" w:cs="宋体" w:ascii="宋体" w:hAnsi="宋体"/>
        <w:sz w:val="28"/>
        <w:szCs w:val="28"/>
      </w:rPr>
      <w:fldChar w:fldCharType="begin"/>
    </w:r>
    <w:r>
      <w:rPr>
        <w:rFonts w:eastAsia="宋体" w:cs="宋体" w:ascii="宋体" w:hAnsi="宋体"/>
        <w:sz w:val="28"/>
        <w:szCs w:val="28"/>
      </w:rPr>
      <w:instrText xml:space="preserve"> PAGE </w:instrText>
    </w:r>
    <w:r>
      <w:rPr>
        <w:rFonts w:eastAsia="宋体" w:cs="宋体" w:ascii="宋体" w:hAnsi="宋体"/>
        <w:sz w:val="28"/>
        <w:szCs w:val="28"/>
      </w:rPr>
      <w:fldChar w:fldCharType="separate"/>
    </w:r>
    <w:r>
      <w:rPr>
        <w:rFonts w:eastAsia="宋体" w:cs="宋体" w:ascii="宋体" w:hAnsi="宋体"/>
        <w:sz w:val="28"/>
        <w:szCs w:val="28"/>
      </w:rPr>
      <w:t>1</w:t>
    </w:r>
    <w:r>
      <w:rPr>
        <w:rFonts w:eastAsia="宋体" w:cs="宋体" w:ascii="宋体" w:hAnsi="宋体"/>
        <w:sz w:val="28"/>
        <w:szCs w:val="28"/>
      </w:rPr>
      <w:fldChar w:fldCharType="end"/>
    </w:r>
    <w:r>
      <w:rPr>
        <w:rFonts w:eastAsia="宋体" w:cs="宋体" w:ascii="宋体" w:hAnsi="宋体"/>
        <w:sz w:val="28"/>
        <w:szCs w:val="28"/>
      </w:rPr>
      <w:t xml:space="preserve"> —</w:t>
    </w:r>
    <w:r>
      <w:rPr>
        <w:rFonts w:eastAsia="宋体" w:cs="宋体" w:hint="eastAsia" w:ascii="宋体" w:hAnsi="宋体"/>
        <w:sz w:val="28"/>
        <w:szCs w:val="28"/>
      </w:rPr>
      <w:t xml:space="preserve"> </w:t>
    </w:r>
    <w:r>
      <w:rPr>
        <w:rFonts w:eastAsia="宋体" w:cs="宋体" w:ascii="宋体" w:hAnsi="宋体"/>
        <w:sz w:val="28"/>
        <w:szCs w:val="28"/>
      </w:rPr>
      <w:t xml:space="preserve"> </w:t>
    </w:r>
  </w:p>
</w:ftr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  <w:docVars>
    <w:docVar w:name="commondata" w:val="eyJoZGlkIjoiNDA1Mzg0MTE4NTBiM2VjZTgzMmUxYzU4NjczNTk5Mm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BodyText"/>
    <w:qFormat/>
    <w:pPr>
      <w:widowControl w:val="false"/>
      <w:bidi w:val="0"/>
      <w:jc w:val="both"/>
    </w:pPr>
    <w:rPr>
      <w:rFonts w:ascii="方正仿宋_GBK" w:hAnsi="方正仿宋_GBK" w:eastAsia="方正仿宋_GBK" w:cs="Times New Roman"/>
      <w:color w:val="auto"/>
      <w:kern w:val="2"/>
      <w:sz w:val="32"/>
      <w:szCs w:val="32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rFonts w:ascii="方正仿宋_GBK" w:hAnsi="方正仿宋_GBK" w:eastAsia="方正仿宋_GBK"/>
      <w:kern w:val="2"/>
      <w:sz w:val="18"/>
      <w:szCs w:val="18"/>
    </w:rPr>
  </w:style>
  <w:style w:type="character" w:styleId="Char1">
    <w:name w:val="页脚 Char"/>
    <w:qFormat/>
    <w:rPr>
      <w:rFonts w:ascii="方正仿宋_GBK" w:hAnsi="方正仿宋_GBK" w:eastAsia="方正仿宋_GBK"/>
      <w:kern w:val="2"/>
      <w:sz w:val="18"/>
      <w:szCs w:val="32"/>
    </w:rPr>
  </w:style>
  <w:style w:type="character" w:styleId="Char2">
    <w:name w:val="页眉 Char"/>
    <w:qFormat/>
    <w:rPr>
      <w:rFonts w:ascii="方正仿宋_GBK" w:hAnsi="方正仿宋_GBK" w:eastAsia="方正仿宋_GBK"/>
      <w:kern w:val="2"/>
      <w:sz w:val="18"/>
      <w:szCs w:val="32"/>
    </w:rPr>
  </w:style>
  <w:style w:type="character" w:styleId="FollowedHyperlink">
    <w:name w:val="FollowedHyperlink"/>
    <w:rPr>
      <w:color w:val="005C81"/>
      <w:u w:val="none"/>
    </w:rPr>
  </w:style>
  <w:style w:type="character" w:styleId="Emphasis">
    <w:name w:val="Emphasis"/>
    <w:qFormat/>
    <w:rPr>
      <w:i w:val="false"/>
    </w:rPr>
  </w:style>
  <w:style w:type="character" w:styleId="Hyperlink">
    <w:name w:val="Hyperlink"/>
    <w:rPr>
      <w:color w:val="005C81"/>
      <w:u w:val="none"/>
    </w:rPr>
  </w:style>
  <w:style w:type="character" w:styleId="bt">
    <w:name w:val="bt"/>
    <w:qFormat/>
    <w:rPr/>
  </w:style>
  <w:style w:type="character" w:styleId="NormalCharacter">
    <w:name w:val="NormalCharact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next w:val="BodyTextIndent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next w:val="Normal"/>
    <w:pPr>
      <w:widowControl w:val="false"/>
      <w:bidi w:val="0"/>
      <w:spacing w:lineRule="auto" w:line="360"/>
      <w:ind w:firstLineChars="200" w:startChars="0" w:start="0" w:endChars="0" w:end="0"/>
      <w:jc w:val="both"/>
    </w:pPr>
    <w:rPr>
      <w:rFonts w:ascii="宋体" w:hAnsi="宋体" w:eastAsia="宋体" w:cs="Times New Roman"/>
      <w:color w:val="auto"/>
      <w:kern w:val="2"/>
      <w:sz w:val="24"/>
      <w:szCs w:val="32"/>
      <w:lang w:bidi="ar-SA" w:val="en-US" w:eastAsia="zh-CN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Style16">
    <w:name w:val="普通(网站)"/>
    <w:basedOn w:val="Normal"/>
    <w:qFormat/>
    <w:pPr>
      <w:spacing w:before="100" w:after="100"/>
      <w:ind w:hanging="0" w:start="0" w:end="0"/>
      <w:jc w:val="start"/>
    </w:pPr>
    <w:rPr>
      <w:kern w:val="0"/>
      <w:sz w:val="24"/>
      <w:lang w:bidi="ar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仿宋_GB2312;仿宋" w:hAnsi="仿宋_GB2312;仿宋" w:eastAsia="仿宋_GB2312;仿宋" w:cs="仿宋_GB2312;仿宋"/>
      <w:color w:val="000000"/>
      <w:sz w:val="24"/>
      <w:szCs w:val="24"/>
      <w:lang w:bidi="ar-SA" w:val="en-US" w:eastAsia="zh-CN"/>
    </w:rPr>
  </w:style>
  <w:style w:type="paragraph" w:styleId="BodyText1">
    <w:name w:val="BodyText"/>
    <w:qFormat/>
    <w:pPr>
      <w:widowControl w:val="false"/>
      <w:bidi w:val="0"/>
      <w:spacing w:before="0" w:after="120"/>
      <w:jc w:val="both"/>
      <w:textAlignment w:val="baseline"/>
    </w:pPr>
    <w:rPr>
      <w:rFonts w:ascii="Times New Roman" w:hAnsi="Times New Roman" w:eastAsia="宋体" w:cs="Times New Roman"/>
      <w:color w:val="auto"/>
      <w:kern w:val="2"/>
      <w:sz w:val="32"/>
      <w:szCs w:val="32"/>
      <w:lang w:bidi="ar-SA" w:val="en-US" w:eastAsia="zh-CN"/>
    </w:rPr>
  </w:style>
  <w:style w:type="paragraph" w:styleId="Style17">
    <w:name w:val="默认"/>
    <w:qFormat/>
    <w:pPr>
      <w:widowControl/>
      <w:bidi w:val="0"/>
    </w:pPr>
    <w:rPr>
      <w:rFonts w:ascii="Helvetica;Arial" w:hAnsi="Helvetica;Arial" w:eastAsia="宋体" w:cs="Helvetica;Arial"/>
      <w:color w:val="000000"/>
      <w:sz w:val="22"/>
      <w:szCs w:val="22"/>
      <w:lang w:bidi="ar-SA"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21120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2020-06-16T02:52:00Z</dcterms:created>
  <dc:creator>HP</dc:creator>
  <dc:description/>
  <dc:language>en-US</dc:language>
  <cp:lastModifiedBy>jiawei</cp:lastModifiedBy>
  <cp:lastPrinted>2022-12-23T07:02:00Z</cp:lastPrinted>
  <dcterms:modified xsi:type="dcterms:W3CDTF">2023-02-09T18:29:23Z</dcterms:modified>
  <cp:revision>17</cp:revision>
  <dc:subject/>
  <dc:title>重庆市人民代表大会常务委员会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69C9130EAB0C4CA0A9022CA357BDBC43</vt:lpwstr>
  </property>
  <property fmtid="{D5CDD505-2E9C-101B-9397-08002B2CF9AE}" pid="3" name="KSOProductBuildVer">
    <vt:lpwstr>2052-11.1.0.13703</vt:lpwstr>
  </property>
  <property fmtid="{D5CDD505-2E9C-101B-9397-08002B2CF9AE}" pid="4" name="KSOSaveFontToCloudKey">
    <vt:lpwstr>662090476_btnclosed</vt:lpwstr>
  </property>
</Properties>
</file>