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方正小标宋_GBK" w:hAnsi="方正小标宋_GBK" w:eastAsia="方正小标宋_GBK"/>
          <w:kern w:val="0"/>
          <w:sz w:val="44"/>
          <w:szCs w:val="44"/>
        </w:rPr>
      </w:pPr>
      <w:r>
        <w:rPr>
          <w:rFonts w:ascii="Times New Roman" w:hAnsi="Times New Roman" w:hint="eastAsia" w:eastAsia="方正小标宋_GBK"/>
          <w:sz w:val="44"/>
          <w:szCs w:val="44"/>
        </w:rPr>
        <w:t>重庆市社会信用条例</w:t>
      </w:r>
    </w:p>
    <w:p>
      <w:pPr>
        <w:pStyle w:val="Normal"/>
        <w:widowControl/>
        <w:spacing w:lineRule="exact" w:line="560"/>
        <w:ind w:firstLineChars="200" w:startChars="0" w:start="0" w:endChars="0" w:end="0"/>
        <w:jc w:val="start"/>
        <w:rPr>
          <w:rFonts w:ascii="方正楷体_GBK" w:hAnsi="方正楷体_GBK" w:eastAsia="方正楷体_GBK" w:hint="eastAsia"/>
          <w:color w:val="000000"/>
          <w:kern w:val="0"/>
          <w:sz w:val="44"/>
          <w:szCs w:val="44"/>
        </w:rPr>
      </w:pPr>
      <w:r>
        <w:rPr>
          <w:rFonts w:eastAsia="方正楷体_GBK" w:hint="eastAsia" w:ascii="方正楷体_GBK" w:hAnsi="方正楷体_GBK"/>
          <w:color w:val="000000"/>
          <w:kern w:val="0"/>
          <w:sz w:val="44"/>
          <w:szCs w:val="44"/>
        </w:rPr>
      </w:r>
    </w:p>
    <w:p>
      <w:pPr>
        <w:pStyle w:val="Normal"/>
        <w:widowControl/>
        <w:spacing w:lineRule="exact" w:line="560"/>
        <w:ind w:firstLineChars="200" w:startChars="0" w:start="0" w:endChars="0" w:end="0"/>
        <w:jc w:val="start"/>
        <w:rPr>
          <w:rFonts w:ascii="方正楷体_GBK" w:hAnsi="方正楷体_GBK" w:eastAsia="方正楷体_GBK"/>
          <w:color w:val="000000"/>
        </w:rPr>
      </w:pPr>
      <w:r>
        <w:rPr>
          <w:rFonts w:ascii="方正楷体_GBK" w:hAnsi="方正楷体_GBK" w:hint="eastAsia" w:eastAsia="方正楷体_GBK"/>
          <w:color w:val="000000"/>
        </w:rPr>
        <w:t>（</w:t>
      </w:r>
      <w:r>
        <w:rPr>
          <w:rFonts w:eastAsia="方正楷体_GBK" w:hint="eastAsia" w:ascii="方正楷体_GBK" w:hAnsi="方正楷体_GBK"/>
          <w:color w:val="000000"/>
        </w:rPr>
        <w:t>2021</w:t>
      </w:r>
      <w:r>
        <w:rPr>
          <w:rFonts w:ascii="方正楷体_GBK" w:hAnsi="方正楷体_GBK" w:hint="eastAsia" w:eastAsia="方正楷体_GBK"/>
          <w:color w:val="000000"/>
        </w:rPr>
        <w:t>年</w:t>
      </w:r>
      <w:r>
        <w:rPr>
          <w:rFonts w:eastAsia="方正楷体_GBK" w:hint="eastAsia" w:ascii="方正楷体_GBK" w:hAnsi="方正楷体_GBK"/>
          <w:color w:val="000000"/>
        </w:rPr>
        <w:t>5</w:t>
      </w:r>
      <w:r>
        <w:rPr>
          <w:rFonts w:ascii="方正楷体_GBK" w:hAnsi="方正楷体_GBK" w:hint="eastAsia" w:eastAsia="方正楷体_GBK"/>
          <w:color w:val="000000"/>
        </w:rPr>
        <w:t>月</w:t>
      </w:r>
      <w:r>
        <w:rPr>
          <w:rFonts w:eastAsia="方正楷体_GBK" w:hint="eastAsia" w:ascii="方正楷体_GBK" w:hAnsi="方正楷体_GBK"/>
          <w:color w:val="000000"/>
        </w:rPr>
        <w:t>27</w:t>
      </w:r>
      <w:r>
        <w:rPr>
          <w:rFonts w:ascii="方正楷体_GBK" w:hAnsi="方正楷体_GBK" w:hint="eastAsia" w:eastAsia="方正楷体_GBK"/>
          <w:color w:val="000000"/>
        </w:rPr>
        <w:t>日重庆市第五届人民代表大会常务委员会第二十六次会议通过）</w:t>
      </w:r>
    </w:p>
    <w:p>
      <w:pPr>
        <w:pStyle w:val="BodyText"/>
        <w:spacing w:lineRule="exact" w:line="594" w:before="0" w:after="0"/>
        <w:jc w:val="center"/>
        <w:rPr>
          <w:rFonts w:ascii="方正黑体_GBK" w:hAnsi="方正黑体_GBK" w:eastAsia="方正黑体_GBK" w:cs="方正黑体_GBK" w:hint="eastAsia"/>
          <w:bCs/>
          <w:color w:val="000000"/>
        </w:rPr>
      </w:pPr>
      <w:r>
        <w:rPr>
          <w:rFonts w:eastAsia="方正黑体_GBK" w:cs="方正黑体_GBK" w:hint="eastAsia" w:ascii="方正黑体_GBK" w:hAnsi="方正黑体_GBK"/>
          <w:bCs/>
          <w:color w:val="000000"/>
        </w:rPr>
      </w:r>
    </w:p>
    <w:p>
      <w:pPr>
        <w:pStyle w:val="BodyText"/>
        <w:spacing w:lineRule="exact" w:line="594" w:before="0" w:after="0"/>
        <w:jc w:val="center"/>
        <w:rPr>
          <w:rFonts w:ascii="方正黑体_GBK" w:hAnsi="方正黑体_GBK" w:eastAsia="方正黑体_GBK" w:cs="方正黑体_GBK" w:hint="eastAsia"/>
          <w:bCs/>
        </w:rPr>
      </w:pPr>
      <w:r>
        <w:rPr>
          <w:rFonts w:ascii="方正黑体_GBK" w:hAnsi="方正黑体_GBK" w:cs="方正黑体_GBK" w:hint="eastAsia" w:eastAsia="方正黑体_GBK"/>
          <w:bCs/>
        </w:rPr>
        <w:t>目录</w:t>
      </w:r>
    </w:p>
    <w:p>
      <w:pPr>
        <w:pStyle w:val="BodyText"/>
        <w:spacing w:lineRule="exact" w:line="594" w:before="0" w:after="0"/>
        <w:jc w:val="center"/>
        <w:rPr>
          <w:rFonts w:ascii="方正黑体_GBK" w:hAnsi="方正黑体_GBK" w:eastAsia="方正黑体_GBK" w:cs="方正黑体_GBK" w:hint="eastAsia"/>
          <w:bCs/>
          <w:color w:val="FF0000"/>
        </w:rPr>
      </w:pPr>
      <w:r>
        <w:rPr>
          <w:rFonts w:eastAsia="方正黑体_GBK" w:cs="方正黑体_GBK" w:hint="eastAsia" w:ascii="方正黑体_GBK" w:hAnsi="方正黑体_GBK"/>
          <w:bCs/>
          <w:color w:val="FF0000"/>
        </w:rPr>
      </w:r>
    </w:p>
    <w:p>
      <w:pPr>
        <w:pStyle w:val="Normal"/>
        <w:spacing w:lineRule="exact" w:line="594"/>
        <w:ind w:firstLineChars="200" w:startChars="0" w:start="0" w:endChars="0" w:end="0"/>
        <w:jc w:val="start"/>
        <w:rPr>
          <w:rFonts w:ascii="Times New Roman" w:hAnsi="Times New Roman"/>
        </w:rPr>
      </w:pPr>
      <w:r>
        <w:rPr>
          <w:rFonts w:ascii="Times New Roman" w:hAnsi="Times New Roman"/>
        </w:rPr>
        <w:t>第一章  总  则</w:t>
      </w:r>
    </w:p>
    <w:p>
      <w:pPr>
        <w:pStyle w:val="Normal"/>
        <w:spacing w:lineRule="exact" w:line="594"/>
        <w:ind w:firstLineChars="200" w:startChars="0" w:start="0" w:endChars="0" w:end="0"/>
        <w:jc w:val="start"/>
        <w:rPr>
          <w:rFonts w:ascii="Times New Roman" w:hAnsi="Times New Roman"/>
        </w:rPr>
      </w:pPr>
      <w:r>
        <w:rPr>
          <w:rFonts w:ascii="Times New Roman" w:hAnsi="Times New Roman"/>
        </w:rPr>
        <w:t>第二章  信用环境建设</w:t>
      </w:r>
    </w:p>
    <w:p>
      <w:pPr>
        <w:pStyle w:val="Normal"/>
        <w:spacing w:lineRule="exact" w:line="594"/>
        <w:ind w:firstLineChars="200" w:startChars="0" w:start="0" w:endChars="0" w:end="0"/>
        <w:jc w:val="start"/>
        <w:rPr/>
      </w:pPr>
      <w:r>
        <w:rPr>
          <w:rFonts w:ascii="Times New Roman" w:hAnsi="Times New Roman"/>
        </w:rPr>
        <w:t xml:space="preserve">第三章  </w:t>
      </w:r>
      <w:r>
        <w:rPr>
          <w:rFonts w:ascii="Times New Roman" w:hAnsi="Times New Roman" w:hint="eastAsia"/>
        </w:rPr>
        <w:t>信用信息</w:t>
      </w:r>
      <w:r>
        <w:rPr>
          <w:rFonts w:ascii="Times New Roman" w:hAnsi="Times New Roman"/>
        </w:rPr>
        <w:t>收集与披露</w:t>
      </w:r>
    </w:p>
    <w:p>
      <w:pPr>
        <w:pStyle w:val="Normal"/>
        <w:spacing w:lineRule="exact" w:line="594"/>
        <w:ind w:firstLineChars="200" w:startChars="0" w:start="0" w:endChars="0" w:end="0"/>
        <w:jc w:val="start"/>
        <w:rPr>
          <w:rFonts w:ascii="Times New Roman" w:hAnsi="Times New Roman"/>
        </w:rPr>
      </w:pPr>
      <w:r>
        <w:rPr>
          <w:rFonts w:ascii="Times New Roman" w:hAnsi="Times New Roman"/>
        </w:rPr>
        <w:t>第四章  信用信息应用</w:t>
      </w:r>
    </w:p>
    <w:p>
      <w:pPr>
        <w:pStyle w:val="Normal"/>
        <w:spacing w:lineRule="exact" w:line="594"/>
        <w:ind w:firstLineChars="200" w:startChars="0" w:start="0" w:endChars="0" w:end="0"/>
        <w:jc w:val="start"/>
        <w:rPr/>
      </w:pPr>
      <w:r>
        <w:rPr>
          <w:rFonts w:ascii="Times New Roman" w:hAnsi="Times New Roman"/>
        </w:rPr>
        <w:t>第五章  信</w:t>
      </w:r>
      <w:r>
        <w:rPr>
          <w:rFonts w:ascii="Times New Roman" w:hAnsi="Times New Roman" w:hint="eastAsia"/>
        </w:rPr>
        <w:t>用</w:t>
      </w:r>
      <w:r>
        <w:rPr>
          <w:rFonts w:ascii="Times New Roman" w:hAnsi="Times New Roman"/>
        </w:rPr>
        <w:t>主体权益保障</w:t>
      </w:r>
    </w:p>
    <w:p>
      <w:pPr>
        <w:pStyle w:val="Normal"/>
        <w:spacing w:lineRule="exact" w:line="594"/>
        <w:ind w:firstLineChars="200" w:startChars="0" w:start="0" w:endChars="0" w:end="0"/>
        <w:jc w:val="start"/>
        <w:rPr/>
      </w:pPr>
      <w:r>
        <w:rPr>
          <w:rFonts w:ascii="Times New Roman" w:hAnsi="Times New Roman"/>
        </w:rPr>
        <w:t>第六章  信用</w:t>
      </w:r>
      <w:r>
        <w:rPr>
          <w:rFonts w:ascii="Times New Roman" w:hAnsi="Times New Roman" w:hint="eastAsia"/>
        </w:rPr>
        <w:t>服务</w:t>
      </w:r>
      <w:r>
        <w:rPr>
          <w:rFonts w:ascii="Times New Roman" w:hAnsi="Times New Roman"/>
        </w:rPr>
        <w:t>规范</w:t>
      </w:r>
    </w:p>
    <w:p>
      <w:pPr>
        <w:pStyle w:val="Normal"/>
        <w:spacing w:lineRule="exact" w:line="594"/>
        <w:ind w:firstLineChars="200" w:startChars="0" w:start="0" w:endChars="0" w:end="0"/>
        <w:jc w:val="start"/>
        <w:rPr>
          <w:rFonts w:ascii="Times New Roman" w:hAnsi="Times New Roman"/>
        </w:rPr>
      </w:pPr>
      <w:r>
        <w:rPr>
          <w:rFonts w:ascii="Times New Roman" w:hAnsi="Times New Roman"/>
        </w:rPr>
        <w:t>第七章  法律责任</w:t>
      </w:r>
    </w:p>
    <w:p>
      <w:pPr>
        <w:pStyle w:val="Normal"/>
        <w:spacing w:lineRule="exact" w:line="594"/>
        <w:ind w:firstLineChars="200" w:startChars="0" w:start="0" w:endChars="0" w:end="0"/>
        <w:jc w:val="start"/>
        <w:rPr>
          <w:rFonts w:ascii="Times New Roman" w:hAnsi="Times New Roman"/>
        </w:rPr>
      </w:pPr>
      <w:r>
        <w:rPr>
          <w:rFonts w:ascii="Times New Roman" w:hAnsi="Times New Roman"/>
        </w:rPr>
        <w:t>第八章  附  则</w:t>
      </w:r>
    </w:p>
    <w:p>
      <w:pPr>
        <w:pStyle w:val="Normal"/>
        <w:snapToGrid w:val="false"/>
        <w:spacing w:lineRule="exact" w:line="594"/>
        <w:jc w:val="center"/>
        <w:rPr>
          <w:rFonts w:ascii="Times New Roman" w:hAnsi="Times New Roman" w:eastAsia="方正黑体_GBK"/>
        </w:rPr>
      </w:pPr>
      <w:r>
        <w:rPr>
          <w:rFonts w:eastAsia="方正黑体_GBK" w:ascii="Times New Roman" w:hAnsi="Times New Roman"/>
        </w:rPr>
      </w:r>
    </w:p>
    <w:p>
      <w:pPr>
        <w:pStyle w:val="Normal"/>
        <w:snapToGrid w:val="false"/>
        <w:spacing w:lineRule="exact" w:line="594"/>
        <w:jc w:val="center"/>
        <w:rPr>
          <w:rFonts w:ascii="Times New Roman" w:hAnsi="Times New Roman" w:eastAsia="方正黑体_GBK"/>
        </w:rPr>
      </w:pPr>
      <w:r>
        <w:rPr>
          <w:rFonts w:ascii="Times New Roman" w:hAnsi="Times New Roman" w:eastAsia="方正黑体_GBK"/>
        </w:rPr>
        <w:t>第一章  总  则</w:t>
      </w:r>
    </w:p>
    <w:p>
      <w:pPr>
        <w:pStyle w:val="Normal"/>
        <w:spacing w:lineRule="exact" w:line="594"/>
        <w:ind w:firstLineChars="200" w:startChars="0" w:start="0" w:endChars="0" w:end="0"/>
        <w:rPr>
          <w:rFonts w:ascii="Times New Roman" w:hAnsi="Times New Roman" w:eastAsia="方正黑体_GBK"/>
        </w:rPr>
      </w:pPr>
      <w:r>
        <w:rPr>
          <w:rFonts w:eastAsia="方正黑体_GBK" w:ascii="Times New Roman" w:hAnsi="Times New Roman"/>
        </w:rPr>
      </w:r>
    </w:p>
    <w:p>
      <w:pPr>
        <w:pStyle w:val="Normal"/>
        <w:spacing w:lineRule="exact" w:line="594"/>
        <w:ind w:firstLineChars="200" w:startChars="0" w:start="0" w:endChars="0" w:end="0"/>
        <w:rPr>
          <w:rFonts w:ascii="Times New Roman" w:hAnsi="Times New Roman" w:eastAsia="方正黑体_GBK"/>
        </w:rPr>
      </w:pPr>
      <w:r>
        <w:rPr>
          <w:rFonts w:ascii="Times New Roman" w:hAnsi="Times New Roman" w:eastAsia="方正黑体_GBK"/>
        </w:rPr>
        <w:t>第一条</w:t>
      </w:r>
      <w:r>
        <w:rPr>
          <w:rFonts w:ascii="Times New Roman" w:hAnsi="Times New Roman" w:hint="eastAsia" w:eastAsia="方正黑体_GBK"/>
        </w:rPr>
        <w:t xml:space="preserve">  </w:t>
      </w:r>
      <w:r>
        <w:rPr>
          <w:rFonts w:ascii="Times New Roman" w:hAnsi="Times New Roman"/>
        </w:rPr>
        <w:t>为了提高</w:t>
      </w:r>
      <w:r>
        <w:rPr>
          <w:rFonts w:ascii="Times New Roman" w:hAnsi="Times New Roman" w:hint="eastAsia"/>
        </w:rPr>
        <w:t>全社会的诚信意识和信用水平，创新社会治理机制，优化营商环境，保护信用主体的合法权益，弘扬社会主义核心价值观，根据有关法律、行政法规</w:t>
      </w:r>
      <w:r>
        <w:rPr>
          <w:rFonts w:ascii="Times New Roman" w:hAnsi="Times New Roman"/>
        </w:rPr>
        <w:t>，结合本市实际，制定本条例。</w:t>
      </w:r>
    </w:p>
    <w:p>
      <w:pPr>
        <w:pStyle w:val="Normal"/>
        <w:spacing w:lineRule="exact" w:line="594"/>
        <w:ind w:firstLineChars="200" w:startChars="0" w:start="0" w:endChars="0" w:end="0"/>
        <w:jc w:val="start"/>
        <w:rPr>
          <w:rFonts w:ascii="Times New Roman" w:hAnsi="Times New Roman" w:hint="eastAsia"/>
          <w:kern w:val="0"/>
        </w:rPr>
      </w:pPr>
      <w:r>
        <w:rPr>
          <w:rFonts w:ascii="Times New Roman" w:hAnsi="Times New Roman" w:eastAsia="方正黑体_GBK"/>
          <w:bCs/>
          <w:kern w:val="0"/>
        </w:rPr>
        <w:t>第二条</w:t>
      </w:r>
      <w:r>
        <w:rPr>
          <w:rFonts w:ascii="Times New Roman" w:hAnsi="Times New Roman" w:hint="eastAsia" w:eastAsia="方正黑体_GBK"/>
          <w:bCs/>
          <w:kern w:val="0"/>
        </w:rPr>
        <w:t xml:space="preserve">  </w:t>
      </w:r>
      <w:r>
        <w:rPr>
          <w:rFonts w:ascii="Times New Roman" w:hAnsi="Times New Roman"/>
          <w:kern w:val="0"/>
        </w:rPr>
        <w:t>本市行政区域内</w:t>
      </w:r>
      <w:r>
        <w:rPr>
          <w:rFonts w:ascii="Times New Roman" w:hAnsi="Times New Roman" w:hint="eastAsia"/>
        </w:rPr>
        <w:t>信用环境建设</w:t>
      </w:r>
      <w:r>
        <w:rPr>
          <w:rFonts w:ascii="Times New Roman" w:hAnsi="Times New Roman" w:hint="eastAsia"/>
          <w:kern w:val="0"/>
        </w:rPr>
        <w:t>、</w:t>
      </w:r>
      <w:r>
        <w:rPr>
          <w:rFonts w:ascii="Times New Roman" w:hAnsi="Times New Roman"/>
          <w:kern w:val="0"/>
        </w:rPr>
        <w:t>信用</w:t>
      </w:r>
      <w:r>
        <w:rPr>
          <w:rFonts w:ascii="Times New Roman" w:hAnsi="Times New Roman" w:hint="eastAsia"/>
        </w:rPr>
        <w:t>信息</w:t>
      </w:r>
      <w:r>
        <w:rPr>
          <w:rFonts w:ascii="Times New Roman" w:hAnsi="Times New Roman"/>
          <w:kern w:val="0"/>
        </w:rPr>
        <w:t>工作</w:t>
      </w:r>
      <w:r>
        <w:rPr>
          <w:rFonts w:ascii="Times New Roman" w:hAnsi="Times New Roman" w:hint="eastAsia"/>
        </w:rPr>
        <w:t>、信用主体权益保障和</w:t>
      </w:r>
      <w:r>
        <w:rPr>
          <w:rFonts w:ascii="Times New Roman" w:hAnsi="Times New Roman" w:hint="eastAsia"/>
          <w:kern w:val="0"/>
        </w:rPr>
        <w:t>信用</w:t>
      </w:r>
      <w:r>
        <w:rPr>
          <w:rFonts w:ascii="Times New Roman" w:hAnsi="Times New Roman" w:hint="eastAsia"/>
        </w:rPr>
        <w:t>服务</w:t>
      </w:r>
      <w:r>
        <w:rPr>
          <w:rFonts w:ascii="Times New Roman" w:hAnsi="Times New Roman" w:hint="eastAsia"/>
          <w:kern w:val="0"/>
        </w:rPr>
        <w:t>规范</w:t>
      </w:r>
      <w:r>
        <w:rPr>
          <w:rFonts w:ascii="Times New Roman" w:hAnsi="Times New Roman"/>
          <w:kern w:val="0"/>
        </w:rPr>
        <w:t>等，适用本条例。法律</w:t>
      </w:r>
      <w:r>
        <w:rPr>
          <w:rFonts w:ascii="Times New Roman" w:hAnsi="Times New Roman"/>
        </w:rPr>
        <w:t>、行政法规另有规定的，从其规定。</w:t>
      </w:r>
    </w:p>
    <w:p>
      <w:pPr>
        <w:pStyle w:val="Normal"/>
        <w:spacing w:lineRule="exact" w:line="594"/>
        <w:ind w:firstLineChars="200" w:startChars="0" w:start="0" w:endChars="0" w:end="0"/>
        <w:jc w:val="start"/>
        <w:rPr/>
      </w:pPr>
      <w:r>
        <w:rPr>
          <w:rFonts w:ascii="Times New Roman" w:hAnsi="Times New Roman" w:eastAsia="方正黑体_GBK"/>
          <w:kern w:val="0"/>
        </w:rPr>
        <w:t>第</w:t>
      </w:r>
      <w:r>
        <w:rPr>
          <w:rFonts w:ascii="Times New Roman" w:hAnsi="Times New Roman" w:hint="eastAsia" w:eastAsia="方正黑体_GBK"/>
          <w:kern w:val="0"/>
        </w:rPr>
        <w:t>三</w:t>
      </w:r>
      <w:r>
        <w:rPr>
          <w:rFonts w:ascii="Times New Roman" w:hAnsi="Times New Roman" w:eastAsia="方正黑体_GBK"/>
          <w:kern w:val="0"/>
        </w:rPr>
        <w:t>条</w:t>
      </w:r>
      <w:r>
        <w:rPr>
          <w:rFonts w:ascii="Times New Roman" w:hAnsi="Times New Roman" w:hint="eastAsia" w:eastAsia="方正黑体_GBK"/>
          <w:kern w:val="0"/>
        </w:rPr>
        <w:t xml:space="preserve">  </w:t>
      </w:r>
      <w:r>
        <w:rPr>
          <w:rFonts w:ascii="Times New Roman" w:hAnsi="Times New Roman"/>
          <w:bCs/>
          <w:kern w:val="0"/>
        </w:rPr>
        <w:t>社会信用体系建设坚持</w:t>
      </w:r>
      <w:r>
        <w:rPr>
          <w:rFonts w:cs="方正仿宋_GBK" w:hint="eastAsia"/>
          <w:bCs/>
          <w:kern w:val="0"/>
        </w:rPr>
        <w:t>政府</w:t>
      </w:r>
      <w:r>
        <w:rPr>
          <w:rFonts w:cs="方正仿宋_GBK" w:hint="eastAsia"/>
          <w:kern w:val="0"/>
        </w:rPr>
        <w:t>主导</w:t>
      </w:r>
      <w:r>
        <w:rPr>
          <w:rFonts w:cs="方正仿宋_GBK" w:hint="eastAsia"/>
          <w:bCs/>
          <w:kern w:val="0"/>
        </w:rPr>
        <w:t>、社会共建、依法依规、保障权益的原则</w:t>
      </w:r>
      <w:r>
        <w:rPr>
          <w:rFonts w:cs="方正仿宋_GBK" w:hint="eastAsia"/>
        </w:rPr>
        <w:t>，坚持政务诚信、商务诚信、社会诚信和司法公信多领域推进。</w:t>
      </w:r>
    </w:p>
    <w:p>
      <w:pPr>
        <w:pStyle w:val="Default"/>
        <w:spacing w:lineRule="exact" w:line="594"/>
        <w:ind w:firstLineChars="200" w:startChars="0" w:start="0" w:endChars="0" w:end="0"/>
        <w:rPr>
          <w:rFonts w:ascii="Times New Roman" w:hAnsi="Times New Roman" w:eastAsia="方正仿宋_GBK" w:cs="Times New Roman" w:hint="eastAsia"/>
          <w:color w:val="000000"/>
          <w:kern w:val="2"/>
          <w:sz w:val="32"/>
          <w:szCs w:val="32"/>
        </w:rPr>
      </w:pPr>
      <w:r>
        <w:rPr>
          <w:rFonts w:ascii="方正仿宋_GBK" w:hAnsi="方正仿宋_GBK" w:cs="方正仿宋_GBK" w:hint="eastAsia" w:eastAsia="方正仿宋_GBK"/>
          <w:color w:val="000000"/>
          <w:kern w:val="2"/>
          <w:sz w:val="32"/>
          <w:szCs w:val="32"/>
        </w:rPr>
        <w:t>社会信用信息的归集、采集、保存、整理、查询、开放和应用等应当严格执行法律、行政法规中有关网络安全、数据安全、个人信息保护和未成年人保护的规</w:t>
      </w:r>
      <w:r>
        <w:rPr>
          <w:rFonts w:ascii="Times New Roman" w:hAnsi="Times New Roman" w:cs="Times New Roman" w:hint="eastAsia" w:eastAsia="方正仿宋_GBK"/>
          <w:color w:val="000000"/>
          <w:kern w:val="2"/>
          <w:sz w:val="32"/>
          <w:szCs w:val="32"/>
        </w:rPr>
        <w:t>定</w:t>
      </w:r>
      <w:r>
        <w:rPr>
          <w:rStyle w:val="NormalCharacter"/>
          <w:rFonts w:ascii="方正黑体_GBK" w:hAnsi="方正黑体_GBK" w:cs="Times New Roman" w:hint="eastAsia" w:eastAsia="方正黑体_GBK"/>
          <w:color w:val="000000"/>
          <w:sz w:val="32"/>
          <w:szCs w:val="32"/>
        </w:rPr>
        <w:t>。</w:t>
      </w:r>
    </w:p>
    <w:p>
      <w:pPr>
        <w:pStyle w:val="Normal"/>
        <w:spacing w:lineRule="exact" w:line="594"/>
        <w:ind w:firstLineChars="200" w:startChars="0" w:start="0" w:endChars="0" w:end="0"/>
        <w:jc w:val="start"/>
        <w:rPr/>
      </w:pPr>
      <w:r>
        <w:rPr>
          <w:rFonts w:ascii="Times New Roman" w:hAnsi="Times New Roman" w:eastAsia="方正黑体_GBK"/>
          <w:bCs/>
          <w:kern w:val="0"/>
        </w:rPr>
        <w:t>第</w:t>
      </w:r>
      <w:r>
        <w:rPr>
          <w:rFonts w:ascii="Times New Roman" w:hAnsi="Times New Roman" w:hint="eastAsia" w:eastAsia="方正黑体_GBK"/>
          <w:bCs/>
          <w:kern w:val="0"/>
        </w:rPr>
        <w:t>四</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bCs/>
          <w:kern w:val="0"/>
        </w:rPr>
        <w:t>市、区县（自治县）人民政府应当将社会信用体系建设纳入国民经济和社会发展</w:t>
      </w:r>
      <w:r>
        <w:rPr>
          <w:rFonts w:ascii="Times New Roman" w:hAnsi="Times New Roman" w:hint="eastAsia"/>
        </w:rPr>
        <w:t>规划，建立健全社会信用体系建设协调机制，统筹推进社会信用体系建设</w:t>
      </w:r>
      <w:r>
        <w:rPr>
          <w:rFonts w:ascii="Times New Roman" w:hAnsi="Times New Roman"/>
          <w:bCs/>
          <w:kern w:val="0"/>
        </w:rPr>
        <w:t>。</w:t>
      </w:r>
    </w:p>
    <w:p>
      <w:pPr>
        <w:pStyle w:val="Normal"/>
        <w:spacing w:lineRule="exact" w:line="594"/>
        <w:ind w:firstLineChars="200" w:startChars="0" w:start="0" w:endChars="0" w:end="0"/>
        <w:jc w:val="start"/>
        <w:rPr>
          <w:rFonts w:ascii="Times New Roman" w:hAnsi="Times New Roman"/>
          <w:bCs/>
          <w:kern w:val="0"/>
        </w:rPr>
      </w:pPr>
      <w:r>
        <w:rPr>
          <w:rFonts w:ascii="Times New Roman" w:hAnsi="Times New Roman"/>
          <w:bCs/>
          <w:kern w:val="0"/>
        </w:rPr>
        <w:t>市、区县（自治县）人民政府应当为信用信息基础设施建设、信用专业人才培养、诚信教育宣传、信用示范城市建设等社会信用体系建设工作提供经费保障。</w:t>
      </w:r>
    </w:p>
    <w:p>
      <w:pPr>
        <w:pStyle w:val="Normal"/>
        <w:spacing w:lineRule="exact" w:line="594"/>
        <w:ind w:firstLineChars="200" w:startChars="0" w:start="0" w:endChars="0" w:end="0"/>
        <w:jc w:val="start"/>
        <w:rPr/>
      </w:pPr>
      <w:r>
        <w:rPr>
          <w:rFonts w:ascii="Times New Roman" w:hAnsi="Times New Roman" w:eastAsia="方正黑体_GBK"/>
          <w:bCs/>
          <w:kern w:val="0"/>
        </w:rPr>
        <w:t>第</w:t>
      </w:r>
      <w:r>
        <w:rPr>
          <w:rFonts w:ascii="Times New Roman" w:hAnsi="Times New Roman" w:hint="eastAsia" w:eastAsia="方正黑体_GBK"/>
          <w:bCs/>
          <w:kern w:val="0"/>
        </w:rPr>
        <w:t>五</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bCs/>
          <w:kern w:val="0"/>
        </w:rPr>
        <w:t>发展</w:t>
      </w:r>
      <w:r>
        <w:rPr>
          <w:rFonts w:ascii="Times New Roman" w:hAnsi="Times New Roman" w:hint="eastAsia"/>
        </w:rPr>
        <w:t>改革部门是本市社会信用体系建设工作主管部门，负责社会信用体系建设工作的综合协调和监督管理，组织建设公共信用信息平台，监督指导公共信用信息的归集、开放和应用。</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征信业监督管理机构按照《征信业管理条例》和相关法律法规的规定负责征信业、评级业的监督管理。</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其他相关部门和单位按</w:t>
      </w:r>
      <w:r>
        <w:rPr>
          <w:rFonts w:ascii="Times New Roman" w:hAnsi="Times New Roman"/>
          <w:bCs/>
          <w:kern w:val="0"/>
        </w:rPr>
        <w:t>照职责分工负责本行业、本领域社会信用工作，共同推进社会信用体系建设。</w:t>
      </w:r>
    </w:p>
    <w:p>
      <w:pPr>
        <w:pStyle w:val="Normal"/>
        <w:spacing w:lineRule="exact" w:line="594"/>
        <w:ind w:firstLineChars="200" w:startChars="0" w:start="0" w:endChars="0" w:end="0"/>
        <w:jc w:val="start"/>
        <w:rPr/>
      </w:pPr>
      <w:r>
        <w:rPr>
          <w:rFonts w:ascii="Times New Roman" w:hAnsi="Times New Roman" w:eastAsia="方正黑体_GBK"/>
          <w:bCs/>
        </w:rPr>
        <w:t>第</w:t>
      </w:r>
      <w:r>
        <w:rPr>
          <w:rFonts w:ascii="Times New Roman" w:hAnsi="Times New Roman" w:hint="eastAsia" w:eastAsia="方正黑体_GBK"/>
          <w:bCs/>
        </w:rPr>
        <w:t>六</w:t>
      </w:r>
      <w:r>
        <w:rPr>
          <w:rFonts w:ascii="Times New Roman" w:hAnsi="Times New Roman" w:eastAsia="方正黑体_GBK"/>
          <w:bCs/>
        </w:rPr>
        <w:t xml:space="preserve">条  </w:t>
      </w:r>
      <w:r>
        <w:rPr>
          <w:rFonts w:ascii="Times New Roman" w:hAnsi="Times New Roman" w:hint="eastAsia"/>
        </w:rPr>
        <w:t>公共信用信息平台</w:t>
      </w:r>
      <w:r>
        <w:rPr>
          <w:rFonts w:ascii="Times New Roman" w:hAnsi="Times New Roman"/>
          <w:kern w:val="0"/>
        </w:rPr>
        <w:t>由政府确定的公共信用服务机构运行、维护，负责</w:t>
      </w:r>
      <w:r>
        <w:rPr>
          <w:rFonts w:ascii="Times New Roman" w:hAnsi="Times New Roman" w:hint="eastAsia"/>
        </w:rPr>
        <w:t>统一发布政策信息、提供公共信用服务等。</w:t>
      </w:r>
    </w:p>
    <w:p>
      <w:pPr>
        <w:pStyle w:val="Normal"/>
        <w:spacing w:lineRule="exact" w:line="594"/>
        <w:ind w:firstLineChars="200" w:startChars="0" w:start="0" w:endChars="0" w:end="0"/>
        <w:jc w:val="start"/>
        <w:rPr/>
      </w:pPr>
      <w:r>
        <w:rPr>
          <w:rFonts w:ascii="Times New Roman" w:hAnsi="Times New Roman" w:hint="eastAsia"/>
        </w:rPr>
        <w:t>市公共信用信息平台</w:t>
      </w:r>
      <w:r>
        <w:rPr>
          <w:rFonts w:ascii="Times New Roman" w:hAnsi="Times New Roman"/>
          <w:kern w:val="0"/>
        </w:rPr>
        <w:t>应当</w:t>
      </w:r>
      <w:r>
        <w:rPr>
          <w:rFonts w:ascii="Times New Roman" w:hAnsi="Times New Roman" w:hint="eastAsia"/>
        </w:rPr>
        <w:t>与全国信用信息共享平台联通对接。</w:t>
      </w:r>
    </w:p>
    <w:p>
      <w:pPr>
        <w:pStyle w:val="Normal"/>
        <w:spacing w:lineRule="exact" w:line="594"/>
        <w:ind w:firstLineChars="200" w:startChars="0" w:start="0" w:endChars="0" w:end="0"/>
        <w:jc w:val="start"/>
        <w:rPr/>
      </w:pPr>
      <w:r>
        <w:rPr>
          <w:rFonts w:ascii="Times New Roman" w:hAnsi="Times New Roman" w:eastAsia="方正黑体_GBK"/>
          <w:kern w:val="0"/>
        </w:rPr>
        <w:t>第</w:t>
      </w:r>
      <w:r>
        <w:rPr>
          <w:rFonts w:ascii="Times New Roman" w:hAnsi="Times New Roman" w:hint="eastAsia" w:eastAsia="方正黑体_GBK"/>
          <w:kern w:val="0"/>
        </w:rPr>
        <w:t>七</w:t>
      </w:r>
      <w:r>
        <w:rPr>
          <w:rFonts w:ascii="Times New Roman" w:hAnsi="Times New Roman" w:eastAsia="方正黑体_GBK"/>
          <w:kern w:val="0"/>
        </w:rPr>
        <w:t>条</w:t>
      </w:r>
      <w:r>
        <w:rPr>
          <w:rFonts w:ascii="Times New Roman" w:hAnsi="Times New Roman" w:hint="eastAsia" w:eastAsia="方正黑体_GBK"/>
          <w:kern w:val="0"/>
        </w:rPr>
        <w:t xml:space="preserve">  </w:t>
      </w:r>
      <w:r>
        <w:rPr>
          <w:rFonts w:ascii="Times New Roman" w:hAnsi="Times New Roman"/>
          <w:kern w:val="0"/>
        </w:rPr>
        <w:t>国家机关及其工作人员应当依法全面履行职责，提高守法履约</w:t>
      </w:r>
      <w:r>
        <w:rPr>
          <w:rFonts w:ascii="Times New Roman" w:hAnsi="Times New Roman" w:hint="eastAsia"/>
        </w:rPr>
        <w:t>践诺和利用信用信息的意识和水平，在社会信用体系建设中发挥示范表率作用。</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信用服务机构、行业协会、其他企业事业单位和组织应当加强自身信用管理，遵守法律法规、行业规约和职业道德准则，主动参与社会信用体系建设，承担社会责任。</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社会公众应当遵循诚信原则，守法履约，恪守承诺，参</w:t>
      </w:r>
      <w:r>
        <w:rPr>
          <w:rFonts w:ascii="Times New Roman" w:hAnsi="Times New Roman"/>
          <w:kern w:val="0"/>
        </w:rPr>
        <w:t>与诚信教育和信用监督活动。</w:t>
      </w:r>
    </w:p>
    <w:p>
      <w:pPr>
        <w:pStyle w:val="Normal"/>
        <w:snapToGrid w:val="false"/>
        <w:spacing w:lineRule="exact" w:line="594"/>
        <w:jc w:val="center"/>
        <w:rPr>
          <w:rFonts w:ascii="Times New Roman" w:hAnsi="Times New Roman" w:eastAsia="方正黑体_GBK" w:hint="eastAsia"/>
        </w:rPr>
      </w:pPr>
      <w:r>
        <w:rPr>
          <w:rFonts w:eastAsia="方正黑体_GBK" w:hint="eastAsia" w:ascii="Times New Roman" w:hAnsi="Times New Roman"/>
        </w:rPr>
      </w:r>
    </w:p>
    <w:p>
      <w:pPr>
        <w:pStyle w:val="Normal"/>
        <w:snapToGrid w:val="false"/>
        <w:spacing w:lineRule="exact" w:line="594"/>
        <w:jc w:val="center"/>
        <w:rPr/>
      </w:pPr>
      <w:r>
        <w:rPr>
          <w:rFonts w:ascii="Times New Roman" w:hAnsi="Times New Roman" w:eastAsia="方正黑体_GBK"/>
        </w:rPr>
        <w:t>第</w:t>
      </w:r>
      <w:r>
        <w:rPr>
          <w:rFonts w:ascii="Times New Roman" w:hAnsi="Times New Roman" w:hint="eastAsia" w:eastAsia="方正黑体_GBK"/>
        </w:rPr>
        <w:t>二</w:t>
      </w:r>
      <w:r>
        <w:rPr>
          <w:rFonts w:ascii="Times New Roman" w:hAnsi="Times New Roman" w:eastAsia="方正黑体_GBK"/>
        </w:rPr>
        <w:t>章  信用环境建设</w:t>
      </w:r>
    </w:p>
    <w:p>
      <w:pPr>
        <w:pStyle w:val="Normal"/>
        <w:spacing w:lineRule="exact" w:line="594"/>
        <w:ind w:firstLineChars="200" w:startChars="0" w:start="0" w:endChars="0" w:end="0"/>
        <w:rPr>
          <w:rFonts w:ascii="Times New Roman" w:hAnsi="Times New Roman" w:eastAsia="方正黑体_GBK"/>
          <w:bCs/>
        </w:rPr>
      </w:pPr>
      <w:r>
        <w:rPr>
          <w:rFonts w:eastAsia="方正黑体_GBK" w:ascii="Times New Roman" w:hAnsi="Times New Roman"/>
          <w:bCs/>
        </w:rPr>
      </w:r>
    </w:p>
    <w:p>
      <w:pPr>
        <w:pStyle w:val="Normal"/>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w:t>
      </w:r>
      <w:r>
        <w:rPr>
          <w:rFonts w:ascii="Times New Roman" w:hAnsi="Times New Roman" w:hint="eastAsia" w:eastAsia="方正黑体_GBK"/>
          <w:bCs/>
        </w:rPr>
        <w:t>八</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本市加强政务诚信建设，发挥各级人民政府和公</w:t>
      </w:r>
      <w:r>
        <w:rPr>
          <w:rFonts w:ascii="Times New Roman" w:hAnsi="Times New Roman" w:hint="eastAsia"/>
        </w:rPr>
        <w:t>职人</w:t>
      </w:r>
      <w:r>
        <w:rPr>
          <w:rFonts w:ascii="Times New Roman" w:hAnsi="Times New Roman"/>
        </w:rPr>
        <w:t>员在社会信用体系建设中的关键、示范作用，建立政务诚信监测治理体系和政府失信责任追究制度。</w:t>
      </w:r>
    </w:p>
    <w:p>
      <w:pPr>
        <w:pStyle w:val="Normal"/>
        <w:spacing w:lineRule="exact" w:line="594"/>
        <w:ind w:firstLineChars="200" w:startChars="0" w:start="0" w:endChars="0" w:end="0"/>
        <w:jc w:val="start"/>
        <w:rPr/>
      </w:pPr>
      <w:r>
        <w:rPr>
          <w:rFonts w:ascii="Times New Roman" w:hAnsi="Times New Roman" w:eastAsia="方正黑体_GBK"/>
          <w:bCs/>
        </w:rPr>
        <w:t>第</w:t>
      </w:r>
      <w:r>
        <w:rPr>
          <w:rFonts w:ascii="Times New Roman" w:hAnsi="Times New Roman" w:hint="eastAsia" w:eastAsia="方正黑体_GBK"/>
          <w:bCs/>
        </w:rPr>
        <w:t>九</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各级人民政府及其有关部门在依法履行职责和其他经济社会活动中，应当严格履行</w:t>
      </w:r>
      <w:r>
        <w:rPr>
          <w:rFonts w:ascii="Times New Roman" w:hAnsi="Times New Roman" w:hint="eastAsia"/>
        </w:rPr>
        <w:t>依法向社会作出的政策承诺以及订立的各类合同，加强在政府采购、政府和社会资本合作、招标投标、招商引资、地方政府债务等重点领域的政务诚信建设，不得以行政区划调整、政府换届、机构或者职能调整以及相关责任人更替等为由违约毁约。</w:t>
      </w:r>
    </w:p>
    <w:p>
      <w:pPr>
        <w:pStyle w:val="Normal"/>
        <w:spacing w:lineRule="exact" w:line="594"/>
        <w:ind w:firstLineChars="200" w:startChars="0" w:start="0" w:endChars="0" w:end="0"/>
        <w:jc w:val="start"/>
        <w:rPr>
          <w:rFonts w:ascii="方正黑体_GBK" w:hAnsi="方正黑体_GBK" w:eastAsia="方正黑体_GBK" w:cs="方正黑体_GBK" w:hint="eastAsia"/>
        </w:rPr>
      </w:pPr>
      <w:r>
        <w:rPr>
          <w:rFonts w:ascii="Times New Roman" w:hAnsi="Times New Roman" w:hint="eastAsia"/>
        </w:rPr>
        <w:t>确因国家利益、公共利益或者其他法定事由需要改变政府承诺或者合同约定的，应当依照法定权限和程序进行，并依法对相关市场主体的财产损失予以补偿。</w:t>
      </w:r>
    </w:p>
    <w:p>
      <w:pPr>
        <w:pStyle w:val="Normal"/>
        <w:snapToGrid w:val="false"/>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w:t>
      </w:r>
      <w:r>
        <w:rPr>
          <w:rFonts w:ascii="Times New Roman" w:hAnsi="Times New Roman" w:hint="eastAsia" w:eastAsia="方正黑体_GBK"/>
          <w:bCs/>
        </w:rPr>
        <w:t>十</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上级人民政府定期对下级人民政府进行政务诚信监督检查，实施</w:t>
      </w:r>
      <w:r>
        <w:rPr>
          <w:rFonts w:ascii="Times New Roman" w:hAnsi="Times New Roman" w:hint="eastAsia"/>
        </w:rPr>
        <w:t>以政务履约和守诺情况为主要内容的</w:t>
      </w:r>
      <w:r>
        <w:rPr>
          <w:rFonts w:ascii="Times New Roman" w:hAnsi="Times New Roman"/>
        </w:rPr>
        <w:t>政务诚信考核评价，</w:t>
      </w:r>
      <w:r>
        <w:rPr>
          <w:rFonts w:ascii="Times New Roman" w:hAnsi="Times New Roman" w:hint="eastAsia"/>
        </w:rPr>
        <w:t>并将</w:t>
      </w:r>
      <w:r>
        <w:rPr>
          <w:rFonts w:ascii="Times New Roman" w:hAnsi="Times New Roman"/>
        </w:rPr>
        <w:t>考评结果作为对下级人民政府绩效考核的重要</w:t>
      </w:r>
      <w:r>
        <w:rPr>
          <w:rFonts w:ascii="Times New Roman" w:hAnsi="Times New Roman" w:hint="eastAsia"/>
        </w:rPr>
        <w:t>内容</w:t>
      </w:r>
      <w:r>
        <w:rPr>
          <w:rFonts w:ascii="Times New Roman" w:hAnsi="Times New Roman"/>
        </w:rPr>
        <w:t>。</w:t>
      </w:r>
    </w:p>
    <w:p>
      <w:pPr>
        <w:pStyle w:val="Normal"/>
        <w:spacing w:lineRule="exact" w:line="594"/>
        <w:ind w:firstLineChars="200" w:startChars="0" w:start="0" w:endChars="0" w:end="0"/>
        <w:rPr>
          <w:rFonts w:ascii="Times New Roman" w:hAnsi="Times New Roman" w:hint="eastAsia"/>
        </w:rPr>
      </w:pPr>
      <w:r>
        <w:rPr>
          <w:rFonts w:ascii="Times New Roman" w:hAnsi="Times New Roman" w:eastAsia="方正黑体_GBK"/>
          <w:bCs/>
        </w:rPr>
        <w:t>第</w:t>
      </w:r>
      <w:r>
        <w:rPr>
          <w:rFonts w:ascii="Times New Roman" w:hAnsi="Times New Roman" w:hint="eastAsia" w:eastAsia="方正黑体_GBK"/>
          <w:bCs/>
        </w:rPr>
        <w:t>十一</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本市重点加强生产、流通、</w:t>
      </w:r>
      <w:r>
        <w:rPr>
          <w:rFonts w:ascii="Times New Roman" w:hAnsi="Times New Roman" w:hint="eastAsia"/>
        </w:rPr>
        <w:t>消费、</w:t>
      </w:r>
      <w:r>
        <w:rPr>
          <w:rFonts w:ascii="Times New Roman" w:hAnsi="Times New Roman"/>
        </w:rPr>
        <w:t>税务、工程建设、招标投标、交通运输等领域商务诚信建设，引导市场主体增强社会责任感、强化信用自律，弘扬企业家精神，推动高质量发展。</w:t>
      </w:r>
    </w:p>
    <w:p>
      <w:pPr>
        <w:pStyle w:val="Normal"/>
        <w:spacing w:lineRule="exact" w:line="594"/>
        <w:ind w:firstLineChars="200" w:startChars="0" w:start="0" w:endChars="0" w:end="0"/>
        <w:rPr/>
      </w:pPr>
      <w:r>
        <w:rPr>
          <w:rFonts w:ascii="Times New Roman" w:hAnsi="Times New Roman"/>
        </w:rPr>
        <w:t>鼓励市场主体在经济活动中主动应用信用报告、信用评价等信用产品，降低商务运行成本</w:t>
      </w:r>
      <w:r>
        <w:rPr>
          <w:rFonts w:ascii="Times New Roman" w:hAnsi="Times New Roman" w:hint="eastAsia"/>
        </w:rPr>
        <w:t>，</w:t>
      </w:r>
      <w:r>
        <w:rPr>
          <w:rFonts w:ascii="Times New Roman" w:hAnsi="Times New Roman"/>
        </w:rPr>
        <w:t>维护良好商务关系</w:t>
      </w:r>
      <w:r>
        <w:rPr>
          <w:rFonts w:ascii="Times New Roman" w:hAnsi="Times New Roman" w:hint="eastAsia"/>
        </w:rPr>
        <w:t>，</w:t>
      </w:r>
      <w:r>
        <w:rPr>
          <w:rFonts w:ascii="Times New Roman" w:hAnsi="Times New Roman"/>
        </w:rPr>
        <w:t>优化营商环境。</w:t>
      </w:r>
    </w:p>
    <w:p>
      <w:pPr>
        <w:pStyle w:val="Normal"/>
        <w:snapToGrid w:val="false"/>
        <w:spacing w:lineRule="exact" w:line="594"/>
        <w:ind w:firstLineChars="200" w:startChars="0" w:start="0" w:endChars="0" w:end="0"/>
        <w:rPr>
          <w:rFonts w:ascii="Times New Roman" w:hAnsi="Times New Roman"/>
        </w:rPr>
      </w:pPr>
      <w:r>
        <w:rPr>
          <w:rFonts w:ascii="Times New Roman" w:hAnsi="Times New Roman"/>
        </w:rPr>
        <w:t>各级人民政府及其有关部门应当发挥信用在创新监管机制、提高监管能力和水平方面的基础性作用，激发市场主体活力和社会创造力。</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十二</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本市全面推进社会保障、教育科研、劳动用工、环境保护和节约能源等领域社会诚信建设，鼓励社会成员之间以诚相待、以信为本、信守承诺，促进社会文明进步，实现社会和谐稳定。</w:t>
      </w:r>
    </w:p>
    <w:p>
      <w:pPr>
        <w:pStyle w:val="Normal"/>
        <w:spacing w:lineRule="exact" w:line="594"/>
        <w:ind w:firstLineChars="200" w:startChars="0" w:start="0" w:endChars="0" w:end="0"/>
        <w:rPr/>
      </w:pPr>
      <w:r>
        <w:rPr>
          <w:rFonts w:ascii="Times New Roman" w:hAnsi="Times New Roman"/>
        </w:rPr>
        <w:t>各级国家机关和有关部门在各个行业的诚信创建活动和精神文明、道德模范的评选中，应当树立诚信典范，将信用主体的信用状态作为评先评优的重要内容</w:t>
      </w:r>
      <w:r>
        <w:rPr>
          <w:rFonts w:ascii="Times New Roman" w:hAnsi="Times New Roman" w:hint="eastAsia"/>
        </w:rPr>
        <w:t>。</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十三</w:t>
      </w:r>
      <w:r>
        <w:rPr>
          <w:rFonts w:ascii="Times New Roman" w:hAnsi="Times New Roman" w:eastAsia="方正黑体_GBK"/>
          <w:bCs/>
        </w:rPr>
        <w:t>条</w:t>
      </w:r>
      <w:r>
        <w:rPr>
          <w:rFonts w:ascii="Times New Roman" w:hAnsi="Times New Roman" w:hint="eastAsia"/>
        </w:rPr>
        <w:t xml:space="preserve">  </w:t>
      </w:r>
      <w:r>
        <w:rPr>
          <w:rFonts w:ascii="Times New Roman" w:hAnsi="Times New Roman"/>
        </w:rPr>
        <w:t>本市加强司法公信建设</w:t>
      </w:r>
      <w:r>
        <w:rPr>
          <w:rFonts w:ascii="Times New Roman" w:hAnsi="Times New Roman" w:hint="eastAsia"/>
        </w:rPr>
        <w:t>，提高司法公信力，</w:t>
      </w:r>
      <w:r>
        <w:rPr>
          <w:rFonts w:ascii="Times New Roman" w:hAnsi="Times New Roman"/>
        </w:rPr>
        <w:t>维护社会公平正义。</w:t>
      </w:r>
    </w:p>
    <w:p>
      <w:pPr>
        <w:pStyle w:val="Normal"/>
        <w:spacing w:lineRule="exact" w:line="594"/>
        <w:ind w:firstLineChars="200" w:startChars="0" w:start="0" w:endChars="0" w:end="0"/>
        <w:rPr/>
      </w:pPr>
      <w:r>
        <w:rPr>
          <w:rFonts w:ascii="Times New Roman" w:hAnsi="Times New Roman"/>
        </w:rPr>
        <w:t>审判机关应当依法公正审理案件，提升司法审判信息化水平，推进案件信息公开，完善执行联动机制，提高生效法律文书执行</w:t>
      </w:r>
      <w:r>
        <w:rPr>
          <w:rFonts w:ascii="Times New Roman" w:hAnsi="Times New Roman" w:hint="eastAsia"/>
        </w:rPr>
        <w:t>兑现</w:t>
      </w:r>
      <w:r>
        <w:rPr>
          <w:rFonts w:ascii="Times New Roman" w:hAnsi="Times New Roman"/>
        </w:rPr>
        <w:t>率。</w:t>
      </w:r>
    </w:p>
    <w:p>
      <w:pPr>
        <w:pStyle w:val="Normal"/>
        <w:spacing w:lineRule="exact" w:line="594"/>
        <w:ind w:firstLineChars="200" w:startChars="0" w:start="0" w:endChars="0" w:end="0"/>
        <w:rPr>
          <w:rFonts w:ascii="Times New Roman" w:hAnsi="Times New Roman"/>
        </w:rPr>
      </w:pPr>
      <w:r>
        <w:rPr>
          <w:rFonts w:ascii="Times New Roman" w:hAnsi="Times New Roman"/>
        </w:rPr>
        <w:t>检察机关应当创新检务公开的手段和途径，充分发挥法律监督职能作用，促进诚信建设。</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十四</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市、区县（自治县）人民政府应当将诚信教育贯穿公民道德建设和精神文明创建全过程，推进公民道德建设工程，加强社会公德、职业道德、家庭美德和个人品德教育。</w:t>
      </w:r>
    </w:p>
    <w:p>
      <w:pPr>
        <w:pStyle w:val="Normal"/>
        <w:spacing w:lineRule="exact" w:line="594"/>
        <w:ind w:firstLineChars="200" w:startChars="0" w:start="0" w:endChars="0" w:end="0"/>
        <w:rPr>
          <w:rFonts w:ascii="Times New Roman" w:hAnsi="Times New Roman"/>
        </w:rPr>
      </w:pPr>
      <w:r>
        <w:rPr>
          <w:rFonts w:ascii="Times New Roman" w:hAnsi="Times New Roman"/>
        </w:rPr>
        <w:t>教育主管部门应当构建有效衔接各级各类学校教育的诚信教育体系，将诚实守信纳入素质教育内容；其他有关部门应当按照职责分工开展各行业、各领域的诚信主题教育活动。</w:t>
      </w:r>
    </w:p>
    <w:p>
      <w:pPr>
        <w:pStyle w:val="Normal"/>
        <w:snapToGrid w:val="false"/>
        <w:spacing w:lineRule="exact" w:line="594"/>
        <w:ind w:firstLineChars="200" w:startChars="0" w:start="0" w:endChars="0" w:end="0"/>
        <w:rPr>
          <w:rFonts w:ascii="Times New Roman" w:hAnsi="Times New Roman"/>
        </w:rPr>
      </w:pPr>
      <w:r>
        <w:rPr>
          <w:rFonts w:ascii="Times New Roman" w:hAnsi="Times New Roman"/>
        </w:rPr>
        <w:t>报刊、广播、电视和网络等新闻媒体应当开展诚实守信公益性宣传。</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十五</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市、区县（自治县）人民政府及其有关部门应当结合本地特色，开展信用城市、信用乡镇（街道）、信用村居（社区）等示范创建活动，及时总结、提炼并推广信用建设中良好的经验和做法。</w:t>
      </w:r>
    </w:p>
    <w:p>
      <w:pPr>
        <w:pStyle w:val="Normal"/>
        <w:snapToGrid w:val="false"/>
        <w:spacing w:lineRule="exact" w:line="594"/>
        <w:jc w:val="center"/>
        <w:rPr>
          <w:rFonts w:ascii="Times New Roman" w:hAnsi="Times New Roman" w:eastAsia="方正黑体_GBK"/>
        </w:rPr>
      </w:pPr>
      <w:r>
        <w:rPr>
          <w:rFonts w:eastAsia="方正黑体_GBK" w:ascii="Times New Roman" w:hAnsi="Times New Roman"/>
        </w:rPr>
      </w:r>
    </w:p>
    <w:p>
      <w:pPr>
        <w:pStyle w:val="Normal"/>
        <w:snapToGrid w:val="false"/>
        <w:spacing w:lineRule="exact" w:line="594"/>
        <w:jc w:val="center"/>
        <w:rPr>
          <w:rFonts w:ascii="Times New Roman" w:hAnsi="Times New Roman" w:eastAsia="方正黑体_GBK"/>
        </w:rPr>
      </w:pPr>
      <w:r>
        <w:rPr>
          <w:rFonts w:ascii="Times New Roman" w:hAnsi="Times New Roman" w:eastAsia="方正黑体_GBK"/>
        </w:rPr>
        <w:t>第</w:t>
      </w:r>
      <w:r>
        <w:rPr>
          <w:rFonts w:ascii="Times New Roman" w:hAnsi="Times New Roman" w:hint="eastAsia" w:eastAsia="方正黑体_GBK"/>
        </w:rPr>
        <w:t>三</w:t>
      </w:r>
      <w:r>
        <w:rPr>
          <w:rFonts w:ascii="Times New Roman" w:hAnsi="Times New Roman" w:eastAsia="方正黑体_GBK"/>
        </w:rPr>
        <w:t>章  信用信息</w:t>
      </w:r>
      <w:r>
        <w:rPr>
          <w:rFonts w:ascii="Times New Roman" w:hAnsi="Times New Roman" w:hint="eastAsia" w:eastAsia="方正黑体_GBK"/>
        </w:rPr>
        <w:t>收集与披露</w:t>
      </w:r>
    </w:p>
    <w:p>
      <w:pPr>
        <w:pStyle w:val="Normal"/>
        <w:spacing w:lineRule="exact" w:line="594"/>
        <w:ind w:firstLineChars="200" w:startChars="0" w:start="0" w:endChars="0" w:end="0"/>
        <w:rPr>
          <w:rFonts w:ascii="Times New Roman" w:hAnsi="Times New Roman" w:eastAsia="方正黑体_GBK"/>
          <w:kern w:val="0"/>
        </w:rPr>
      </w:pPr>
      <w:r>
        <w:rPr>
          <w:rFonts w:eastAsia="方正黑体_GBK" w:ascii="Times New Roman" w:hAnsi="Times New Roman"/>
          <w:kern w:val="0"/>
        </w:rPr>
      </w:r>
    </w:p>
    <w:p>
      <w:pPr>
        <w:pStyle w:val="Normal"/>
        <w:spacing w:lineRule="exact" w:line="594"/>
        <w:ind w:firstLineChars="200" w:startChars="0" w:start="0" w:endChars="0" w:end="0"/>
        <w:rPr>
          <w:rFonts w:ascii="Times New Roman" w:hAnsi="Times New Roman" w:eastAsia="方正黑体_GBK"/>
          <w:kern w:val="0"/>
        </w:rPr>
      </w:pPr>
      <w:r>
        <w:rPr>
          <w:rFonts w:ascii="Times New Roman" w:hAnsi="Times New Roman" w:eastAsia="方正黑体_GBK"/>
          <w:kern w:val="0"/>
        </w:rPr>
        <w:t>第</w:t>
      </w:r>
      <w:r>
        <w:rPr>
          <w:rFonts w:ascii="Times New Roman" w:hAnsi="Times New Roman" w:hint="eastAsia" w:eastAsia="方正黑体_GBK"/>
          <w:kern w:val="0"/>
        </w:rPr>
        <w:t>十六</w:t>
      </w:r>
      <w:r>
        <w:rPr>
          <w:rFonts w:ascii="Times New Roman" w:hAnsi="Times New Roman" w:eastAsia="方正黑体_GBK"/>
          <w:kern w:val="0"/>
        </w:rPr>
        <w:t>条</w:t>
      </w:r>
      <w:r>
        <w:rPr>
          <w:rFonts w:ascii="Times New Roman" w:hAnsi="Times New Roman" w:hint="eastAsia" w:eastAsia="方正黑体_GBK"/>
          <w:kern w:val="0"/>
        </w:rPr>
        <w:t xml:space="preserve">  </w:t>
      </w:r>
      <w:r>
        <w:rPr>
          <w:rFonts w:ascii="Times New Roman" w:hAnsi="Times New Roman"/>
          <w:kern w:val="0"/>
        </w:rPr>
        <w:t>公共信用</w:t>
      </w:r>
      <w:r>
        <w:rPr>
          <w:rFonts w:ascii="Times New Roman" w:hAnsi="Times New Roman" w:hint="eastAsia"/>
        </w:rPr>
        <w:t>信息实行目录管理。归集公共信用信息应当严格按照全国公共信用信息基础目录和本市公共信用信息补充目录执行。</w:t>
      </w:r>
    </w:p>
    <w:p>
      <w:pPr>
        <w:pStyle w:val="Normal"/>
        <w:spacing w:lineRule="exact" w:line="594"/>
        <w:ind w:firstLineChars="200" w:startChars="0" w:start="0" w:endChars="0" w:end="0"/>
        <w:jc w:val="start"/>
        <w:rPr/>
      </w:pPr>
      <w:r>
        <w:rPr>
          <w:rFonts w:ascii="Times New Roman" w:hAnsi="Times New Roman" w:hint="eastAsia" w:eastAsia="方正黑体_GBK"/>
          <w:kern w:val="0"/>
        </w:rPr>
        <w:t xml:space="preserve">第十七条  </w:t>
      </w:r>
      <w:r>
        <w:rPr>
          <w:rFonts w:ascii="Times New Roman" w:hAnsi="Times New Roman" w:hint="eastAsia"/>
          <w:kern w:val="0"/>
        </w:rPr>
        <w:t>市</w:t>
      </w:r>
      <w:r>
        <w:rPr>
          <w:rFonts w:ascii="Times New Roman" w:hAnsi="Times New Roman"/>
          <w:kern w:val="0"/>
        </w:rPr>
        <w:t>发</w:t>
      </w:r>
      <w:r>
        <w:rPr>
          <w:rFonts w:ascii="Times New Roman" w:hAnsi="Times New Roman" w:hint="eastAsia"/>
        </w:rPr>
        <w:t>展改革部门负责编制和调整本市公共信用信息补充目录，并向社会公布。</w:t>
      </w:r>
    </w:p>
    <w:p>
      <w:pPr>
        <w:pStyle w:val="Normal"/>
        <w:spacing w:lineRule="exact" w:line="594"/>
        <w:ind w:firstLineChars="200" w:startChars="0" w:start="0" w:endChars="0" w:end="0"/>
        <w:jc w:val="start"/>
        <w:rPr>
          <w:rFonts w:ascii="Times New Roman" w:hAnsi="Times New Roman" w:hint="eastAsia"/>
          <w:kern w:val="0"/>
        </w:rPr>
      </w:pPr>
      <w:r>
        <w:rPr>
          <w:rFonts w:ascii="Times New Roman" w:hAnsi="Times New Roman" w:hint="eastAsia"/>
        </w:rPr>
        <w:t>拟纳入或者调整本市公共信用信息补充目录的事项，由市级有关部门和单位依据本市地方性法规中有关信用管理的规定提出建议。市发展改革部门收到建议后，应当征求各区县（自治县）、各有关部门与相关市场主体、行业协会、法律服务机构、专家学者</w:t>
      </w:r>
      <w:r>
        <w:rPr>
          <w:rFonts w:ascii="Times New Roman" w:hAnsi="Times New Roman"/>
        </w:rPr>
        <w:t>和社会公众的意见，并报经市人民政府核准后</w:t>
      </w:r>
      <w:r>
        <w:rPr>
          <w:rFonts w:ascii="Times New Roman" w:hAnsi="Times New Roman" w:hint="eastAsia"/>
        </w:rPr>
        <w:t>纳入或者调整补充目录。</w:t>
      </w:r>
    </w:p>
    <w:p>
      <w:pPr>
        <w:pStyle w:val="Normal"/>
        <w:spacing w:lineRule="exact" w:line="594"/>
        <w:ind w:firstLineChars="200" w:startChars="0" w:start="0" w:endChars="0" w:end="0"/>
        <w:jc w:val="start"/>
        <w:rPr/>
      </w:pPr>
      <w:r>
        <w:rPr>
          <w:rFonts w:ascii="Times New Roman" w:hAnsi="Times New Roman" w:eastAsia="方正黑体_GBK"/>
          <w:bCs/>
          <w:kern w:val="0"/>
        </w:rPr>
        <w:t>第</w:t>
      </w:r>
      <w:r>
        <w:rPr>
          <w:rFonts w:ascii="Times New Roman" w:hAnsi="Times New Roman" w:hint="eastAsia" w:eastAsia="方正黑体_GBK"/>
          <w:bCs/>
          <w:kern w:val="0"/>
        </w:rPr>
        <w:t>十八</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rPr>
        <w:t>本市公共信用信息补充目录应当限制在下列范围内：</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rPr>
        <w:t>（一）公共管理和服务中反映信用主体基本情况的登记类信息；</w:t>
      </w:r>
    </w:p>
    <w:p>
      <w:pPr>
        <w:pStyle w:val="Normal"/>
        <w:spacing w:lineRule="exact" w:line="594"/>
        <w:ind w:firstLineChars="200" w:startChars="0" w:start="0" w:endChars="0" w:end="0"/>
        <w:jc w:val="start"/>
        <w:rPr>
          <w:rFonts w:ascii="Times New Roman" w:hAnsi="Times New Roman"/>
        </w:rPr>
      </w:pPr>
      <w:r>
        <w:rPr>
          <w:rFonts w:ascii="Times New Roman" w:hAnsi="Times New Roman"/>
        </w:rPr>
        <w:t>（二）反映信用主体信用状况的行政处罚、行政许可、行政确认、行政给付、行政裁决、行政补偿、行政监督检查、约谈等行政行为信息；</w:t>
      </w:r>
    </w:p>
    <w:p>
      <w:pPr>
        <w:pStyle w:val="Normal"/>
        <w:spacing w:lineRule="exact" w:line="594"/>
        <w:ind w:firstLineChars="200" w:startChars="0" w:start="0" w:endChars="0" w:end="0"/>
        <w:jc w:val="start"/>
        <w:rPr>
          <w:rFonts w:ascii="Times New Roman" w:hAnsi="Times New Roman"/>
        </w:rPr>
      </w:pPr>
      <w:r>
        <w:rPr>
          <w:rFonts w:ascii="Times New Roman" w:hAnsi="Times New Roman"/>
        </w:rPr>
        <w:t>（三）拒不缴纳依法应当缴纳的税款、社会保险费用、行政事业性收费、政府性基金的信息；</w:t>
      </w:r>
    </w:p>
    <w:p>
      <w:pPr>
        <w:pStyle w:val="Normal"/>
        <w:spacing w:lineRule="exact" w:line="594"/>
        <w:ind w:firstLineChars="200" w:startChars="0" w:start="0" w:endChars="0" w:end="0"/>
        <w:jc w:val="start"/>
        <w:rPr>
          <w:rFonts w:ascii="Times New Roman" w:hAnsi="Times New Roman"/>
        </w:rPr>
      </w:pPr>
      <w:r>
        <w:rPr>
          <w:rFonts w:ascii="Times New Roman" w:hAnsi="Times New Roman"/>
        </w:rPr>
        <w:t>（四）司法裁判文书、仲裁文书中反映信用主体信用状况的信息，或者拒不履行生效法律文书确定义务的信息；</w:t>
      </w:r>
    </w:p>
    <w:p>
      <w:pPr>
        <w:pStyle w:val="Normal"/>
        <w:spacing w:lineRule="exact" w:line="594"/>
        <w:ind w:firstLineChars="200" w:startChars="0" w:start="0" w:endChars="0" w:end="0"/>
        <w:jc w:val="start"/>
        <w:rPr>
          <w:rFonts w:ascii="Times New Roman" w:hAnsi="Times New Roman"/>
        </w:rPr>
      </w:pPr>
      <w:r>
        <w:rPr>
          <w:rFonts w:ascii="Times New Roman" w:hAnsi="Times New Roman"/>
        </w:rPr>
        <w:t>（五）违反法律、法规，提供虚假材料、隐瞒真实情况，损害社会管理秩序和公共利益的信息；</w:t>
      </w:r>
    </w:p>
    <w:p>
      <w:pPr>
        <w:pStyle w:val="Normal"/>
        <w:spacing w:lineRule="exact" w:line="594"/>
        <w:ind w:firstLineChars="200" w:startChars="0" w:start="0" w:endChars="0" w:end="0"/>
        <w:jc w:val="start"/>
        <w:rPr/>
      </w:pPr>
      <w:r>
        <w:rPr>
          <w:rFonts w:ascii="Times New Roman" w:hAnsi="Times New Roman"/>
        </w:rPr>
        <w:t>（六）</w:t>
      </w:r>
      <w:r>
        <w:rPr>
          <w:rFonts w:ascii="Times New Roman" w:hAnsi="Times New Roman" w:hint="eastAsia"/>
        </w:rPr>
        <w:t>信用主体在行政管理和公共服务中</w:t>
      </w:r>
      <w:r>
        <w:rPr>
          <w:rFonts w:ascii="Times New Roman" w:hAnsi="Times New Roman"/>
        </w:rPr>
        <w:t>履行</w:t>
      </w:r>
      <w:r>
        <w:rPr>
          <w:rFonts w:ascii="Times New Roman" w:hAnsi="Times New Roman" w:hint="eastAsia"/>
        </w:rPr>
        <w:t>承诺</w:t>
      </w:r>
      <w:r>
        <w:rPr>
          <w:rFonts w:ascii="Times New Roman" w:hAnsi="Times New Roman"/>
        </w:rPr>
        <w:t>情况</w:t>
      </w:r>
      <w:r>
        <w:rPr>
          <w:rFonts w:ascii="Times New Roman" w:hAnsi="Times New Roman" w:hint="eastAsia"/>
        </w:rPr>
        <w:t>的</w:t>
      </w:r>
      <w:r>
        <w:rPr>
          <w:rFonts w:ascii="Times New Roman" w:hAnsi="Times New Roman"/>
        </w:rPr>
        <w:t>信息；</w:t>
      </w:r>
    </w:p>
    <w:p>
      <w:pPr>
        <w:pStyle w:val="Normal"/>
        <w:spacing w:lineRule="exact" w:line="594"/>
        <w:ind w:firstLineChars="200" w:startChars="0" w:start="0" w:endChars="0" w:end="0"/>
        <w:jc w:val="start"/>
        <w:rPr>
          <w:rFonts w:ascii="Times New Roman" w:hAnsi="Times New Roman"/>
        </w:rPr>
      </w:pPr>
      <w:r>
        <w:rPr>
          <w:rFonts w:ascii="Times New Roman" w:hAnsi="Times New Roman"/>
        </w:rPr>
        <w:t>（七）信用主体受到表彰奖励以及参加公益慈善活动、志愿服务等信息；</w:t>
      </w:r>
    </w:p>
    <w:p>
      <w:pPr>
        <w:pStyle w:val="Normal"/>
        <w:spacing w:lineRule="exact" w:line="594"/>
        <w:ind w:firstLineChars="200" w:startChars="0" w:start="0" w:endChars="0" w:end="0"/>
        <w:jc w:val="start"/>
        <w:rPr>
          <w:rFonts w:ascii="方正黑体_GBK" w:hAnsi="方正黑体_GBK" w:eastAsia="方正黑体_GBK" w:cs="方正黑体_GBK" w:hint="eastAsia"/>
        </w:rPr>
      </w:pPr>
      <w:r>
        <w:rPr>
          <w:rFonts w:ascii="Times New Roman" w:hAnsi="Times New Roman"/>
        </w:rPr>
        <w:t>（八）本市地方性法规规定的其他信息。</w:t>
      </w:r>
    </w:p>
    <w:p>
      <w:pPr>
        <w:pStyle w:val="Normal"/>
        <w:spacing w:lineRule="exact" w:line="594"/>
        <w:ind w:firstLineChars="200" w:startChars="0" w:start="0" w:endChars="0" w:end="0"/>
        <w:jc w:val="start"/>
        <w:rPr/>
      </w:pPr>
      <w:r>
        <w:rPr>
          <w:rFonts w:ascii="方正黑体_GBK" w:hAnsi="方正黑体_GBK" w:cs="方正黑体_GBK" w:hint="eastAsia" w:eastAsia="方正黑体_GBK"/>
        </w:rPr>
        <w:t>第十九条</w:t>
      </w:r>
      <w:r>
        <w:rPr>
          <w:rFonts w:ascii="方正黑体_GBK" w:hAnsi="方正黑体_GBK" w:cs="方正黑体_GBK" w:eastAsia="方正黑体_GBK"/>
        </w:rPr>
        <w:t xml:space="preserve">  </w:t>
      </w:r>
      <w:r>
        <w:rPr>
          <w:rFonts w:ascii="Times New Roman" w:hAnsi="Times New Roman"/>
        </w:rPr>
        <w:t>自然人公共信用信息的归集以公民身份号码作为关联匹配的标识；无公民身份号码的，以护照等其他有效身份证件的号码作为关联匹配的标识。</w:t>
      </w:r>
    </w:p>
    <w:p>
      <w:pPr>
        <w:pStyle w:val="Normal"/>
        <w:spacing w:lineRule="exact" w:line="594"/>
        <w:ind w:firstLineChars="200" w:startChars="0" w:start="0" w:endChars="0" w:end="0"/>
        <w:jc w:val="start"/>
        <w:rPr>
          <w:rFonts w:ascii="方正黑体_GBK" w:hAnsi="方正黑体_GBK" w:eastAsia="方正黑体_GBK" w:cs="方正黑体_GBK" w:hint="eastAsia"/>
        </w:rPr>
      </w:pPr>
      <w:r>
        <w:rPr>
          <w:rFonts w:ascii="Times New Roman" w:hAnsi="Times New Roman"/>
        </w:rPr>
        <w:t>法人和非法人组织公共信用信息的归集以统一社会信用代码作为关联匹配的唯一标识。</w:t>
      </w:r>
    </w:p>
    <w:p>
      <w:pPr>
        <w:pStyle w:val="Normal"/>
        <w:snapToGrid w:val="false"/>
        <w:spacing w:lineRule="exact" w:line="594"/>
        <w:ind w:firstLineChars="200" w:startChars="0" w:start="0" w:endChars="0" w:end="0"/>
        <w:jc w:val="start"/>
        <w:rPr/>
      </w:pPr>
      <w:r>
        <w:rPr>
          <w:rFonts w:ascii="Times New Roman" w:hAnsi="Times New Roman" w:eastAsia="方正黑体_GBK"/>
          <w:bCs/>
          <w:kern w:val="0"/>
        </w:rPr>
        <w:t>第</w:t>
      </w:r>
      <w:r>
        <w:rPr>
          <w:rFonts w:ascii="Times New Roman" w:hAnsi="Times New Roman" w:hint="eastAsia" w:eastAsia="方正黑体_GBK"/>
          <w:bCs/>
          <w:kern w:val="0"/>
        </w:rPr>
        <w:t>二十</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bCs/>
          <w:kern w:val="0"/>
        </w:rPr>
        <w:t>公共信用信息提供单位应当如实记录履行职责和提供服务过程中形成的政务和服务信息，并通过全市政务数据资源共享系统向公共信用信息平台提供。</w:t>
      </w:r>
    </w:p>
    <w:p>
      <w:pPr>
        <w:pStyle w:val="Normal"/>
        <w:snapToGrid w:val="false"/>
        <w:spacing w:lineRule="exact" w:line="594"/>
        <w:ind w:firstLineChars="200" w:startChars="0" w:start="0" w:endChars="0" w:end="0"/>
        <w:jc w:val="start"/>
        <w:rPr>
          <w:rFonts w:ascii="Times New Roman" w:hAnsi="Times New Roman"/>
          <w:bCs/>
          <w:kern w:val="0"/>
        </w:rPr>
      </w:pPr>
      <w:r>
        <w:rPr>
          <w:rFonts w:ascii="Times New Roman" w:hAnsi="Times New Roman"/>
          <w:bCs/>
          <w:kern w:val="0"/>
        </w:rPr>
        <w:t>公共信用服务机构应当按照公共信用信息目录通过全市政务数据资源共享系统归集公共信用信息。</w:t>
      </w:r>
    </w:p>
    <w:p>
      <w:pPr>
        <w:pStyle w:val="Normal"/>
        <w:spacing w:lineRule="exact" w:line="594"/>
        <w:ind w:firstLineChars="200" w:startChars="0" w:start="0" w:endChars="0" w:end="0"/>
        <w:jc w:val="start"/>
        <w:rPr/>
      </w:pPr>
      <w:r>
        <w:rPr>
          <w:rFonts w:ascii="Times New Roman" w:hAnsi="Times New Roman" w:eastAsia="方正黑体_GBK"/>
          <w:bCs/>
          <w:kern w:val="0"/>
        </w:rPr>
        <w:t>第</w:t>
      </w:r>
      <w:r>
        <w:rPr>
          <w:rFonts w:ascii="Times New Roman" w:hAnsi="Times New Roman" w:hint="eastAsia" w:eastAsia="方正黑体_GBK"/>
          <w:bCs/>
          <w:kern w:val="0"/>
        </w:rPr>
        <w:t>二十一</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rPr>
        <w:t>公共信用信息提供单位在记录信用主体违反法定义务、不履行约定义务、不践行承诺的信息时，应当依据下列文书：</w:t>
      </w:r>
    </w:p>
    <w:p>
      <w:pPr>
        <w:pStyle w:val="Normal"/>
        <w:spacing w:lineRule="exact" w:line="594"/>
        <w:ind w:firstLineChars="200" w:startChars="0" w:start="0" w:endChars="0" w:end="0"/>
        <w:jc w:val="start"/>
        <w:rPr>
          <w:rFonts w:ascii="Times New Roman" w:hAnsi="Times New Roman"/>
        </w:rPr>
      </w:pPr>
      <w:r>
        <w:rPr>
          <w:rFonts w:ascii="Times New Roman" w:hAnsi="Times New Roman"/>
        </w:rPr>
        <w:t>（一）生效的司法裁判文书和仲裁文书；</w:t>
      </w:r>
    </w:p>
    <w:p>
      <w:pPr>
        <w:pStyle w:val="Normal"/>
        <w:spacing w:lineRule="exact" w:line="594"/>
        <w:ind w:firstLineChars="200" w:startChars="0" w:start="0" w:endChars="0" w:end="0"/>
        <w:jc w:val="start"/>
        <w:rPr>
          <w:rFonts w:ascii="Times New Roman" w:hAnsi="Times New Roman"/>
        </w:rPr>
      </w:pPr>
      <w:r>
        <w:rPr>
          <w:rFonts w:ascii="Times New Roman" w:hAnsi="Times New Roman"/>
        </w:rPr>
        <w:t>（二）生效的行政处罚和行政裁决等行政行为决定文书；</w:t>
      </w:r>
    </w:p>
    <w:p>
      <w:pPr>
        <w:pStyle w:val="Normal"/>
        <w:spacing w:lineRule="exact" w:line="594"/>
        <w:ind w:firstLineChars="200" w:startChars="0" w:start="0" w:endChars="0" w:end="0"/>
        <w:jc w:val="start"/>
        <w:rPr>
          <w:rFonts w:ascii="方正黑体_GBK" w:hAnsi="方正黑体_GBK" w:eastAsia="方正黑体_GBK" w:cs="方正黑体_GBK" w:hint="eastAsia"/>
        </w:rPr>
      </w:pPr>
      <w:r>
        <w:rPr>
          <w:rFonts w:ascii="Times New Roman" w:hAnsi="Times New Roman"/>
        </w:rPr>
        <w:t>（三）法律、法规或者国家规定可以作为记录前述信息依据的其他文书。</w:t>
      </w:r>
    </w:p>
    <w:p>
      <w:pPr>
        <w:pStyle w:val="Normal"/>
        <w:snapToGrid w:val="false"/>
        <w:spacing w:lineRule="exact" w:line="594"/>
        <w:ind w:firstLineChars="200" w:startChars="0" w:start="0" w:endChars="0" w:end="0"/>
        <w:jc w:val="start"/>
        <w:rPr/>
      </w:pPr>
      <w:r>
        <w:rPr>
          <w:rFonts w:ascii="Times New Roman" w:hAnsi="Times New Roman" w:eastAsia="方正黑体_GBK"/>
          <w:bCs/>
          <w:kern w:val="0"/>
        </w:rPr>
        <w:t>第</w:t>
      </w:r>
      <w:r>
        <w:rPr>
          <w:rFonts w:ascii="Times New Roman" w:hAnsi="Times New Roman" w:hint="eastAsia" w:eastAsia="方正黑体_GBK"/>
          <w:bCs/>
          <w:kern w:val="0"/>
        </w:rPr>
        <w:t>二十二</w:t>
      </w:r>
      <w:r>
        <w:rPr>
          <w:rFonts w:ascii="Times New Roman" w:hAnsi="Times New Roman" w:eastAsia="方正黑体_GBK"/>
          <w:bCs/>
          <w:kern w:val="0"/>
        </w:rPr>
        <w:t xml:space="preserve">条  </w:t>
      </w:r>
      <w:r>
        <w:rPr>
          <w:rFonts w:ascii="Times New Roman" w:hAnsi="Times New Roman"/>
          <w:bCs/>
          <w:kern w:val="0"/>
        </w:rPr>
        <w:t>公共信用服务机构应当通过“信用中国（重庆）”网站、移动客户端、查询窗口等渠道</w:t>
      </w:r>
      <w:r>
        <w:rPr>
          <w:rFonts w:ascii="Times New Roman" w:hAnsi="Times New Roman" w:hint="eastAsia"/>
          <w:bCs/>
          <w:kern w:val="0"/>
        </w:rPr>
        <w:t>，</w:t>
      </w:r>
      <w:r>
        <w:rPr>
          <w:rFonts w:ascii="Times New Roman" w:hAnsi="Times New Roman"/>
          <w:bCs/>
          <w:kern w:val="0"/>
        </w:rPr>
        <w:t>以依法公开、依职权查询、</w:t>
      </w:r>
      <w:r>
        <w:rPr>
          <w:rFonts w:ascii="Times New Roman" w:hAnsi="Times New Roman" w:hint="eastAsia"/>
        </w:rPr>
        <w:t>信用主体实名认证查询、授权查询等方式向社会提供公共信用信息服务。</w:t>
      </w:r>
    </w:p>
    <w:p>
      <w:pPr>
        <w:pStyle w:val="Normal"/>
        <w:snapToGrid w:val="false"/>
        <w:spacing w:lineRule="exact" w:line="594"/>
        <w:ind w:firstLineChars="200" w:startChars="0" w:start="0" w:endChars="0" w:end="0"/>
        <w:rPr>
          <w:rFonts w:ascii="Times New Roman" w:hAnsi="Times New Roman" w:hint="eastAsia"/>
        </w:rPr>
      </w:pPr>
      <w:r>
        <w:rPr>
          <w:rFonts w:ascii="Times New Roman" w:hAnsi="Times New Roman" w:hint="eastAsia"/>
        </w:rPr>
        <w:t>依法公开是指依照法律、法规和规章规定无需信用主体授权即可主动公开；依职权查询是指公共信用信息提供单位根据履行职责的需要可以查询相关联的公共信用信息；信用主体实名认证查询是指信用主体通过实名认证后查询自身的信用信息；授权查询是指经信用主体授权进行查询并按照约定用途使用公共信用信息。</w:t>
      </w:r>
    </w:p>
    <w:p>
      <w:pPr>
        <w:pStyle w:val="Normal"/>
        <w:snapToGrid w:val="false"/>
        <w:spacing w:lineRule="exact" w:line="594"/>
        <w:ind w:firstLineChars="200" w:startChars="0" w:start="0" w:endChars="0" w:end="0"/>
        <w:rPr>
          <w:rFonts w:ascii="Times New Roman" w:hAnsi="Times New Roman" w:hint="eastAsia"/>
        </w:rPr>
      </w:pPr>
      <w:r>
        <w:rPr>
          <w:rFonts w:ascii="Times New Roman" w:hAnsi="Times New Roman" w:hint="eastAsia"/>
        </w:rPr>
        <w:t>市发展改革部门应当制定并公布公共信用信息服务工作规</w:t>
      </w:r>
      <w:r>
        <w:rPr>
          <w:rFonts w:ascii="Times New Roman" w:hAnsi="Times New Roman"/>
          <w:bCs/>
          <w:kern w:val="0"/>
        </w:rPr>
        <w:t>范。公共信用服务机构应当按照工作规范向社会提供便捷的服务，如实记载查询情况并自查询之日起保存三年。</w:t>
      </w:r>
    </w:p>
    <w:p>
      <w:pPr>
        <w:pStyle w:val="Normal"/>
        <w:spacing w:lineRule="exact" w:line="594"/>
        <w:ind w:firstLineChars="200" w:startChars="0" w:start="0" w:endChars="0" w:end="0"/>
        <w:jc w:val="start"/>
        <w:rPr/>
      </w:pPr>
      <w:r>
        <w:rPr>
          <w:rFonts w:ascii="Times New Roman" w:hAnsi="Times New Roman" w:eastAsia="方正黑体_GBK"/>
          <w:bCs/>
          <w:kern w:val="0"/>
        </w:rPr>
        <w:t>第</w:t>
      </w:r>
      <w:r>
        <w:rPr>
          <w:rFonts w:ascii="Times New Roman" w:hAnsi="Times New Roman" w:hint="eastAsia" w:eastAsia="方正黑体_GBK"/>
          <w:bCs/>
          <w:kern w:val="0"/>
        </w:rPr>
        <w:t>二十三</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rPr>
        <w:t>归集、采集信用信息应当合法、真实、客观、</w:t>
      </w:r>
      <w:r>
        <w:rPr>
          <w:rFonts w:ascii="Times New Roman" w:hAnsi="Times New Roman"/>
          <w:bCs/>
          <w:kern w:val="0"/>
        </w:rPr>
        <w:t>必要。</w:t>
      </w:r>
    </w:p>
    <w:p>
      <w:pPr>
        <w:pStyle w:val="Normal"/>
        <w:spacing w:lineRule="exact" w:line="594"/>
        <w:ind w:firstLineChars="200" w:startChars="0" w:start="0" w:endChars="0" w:end="0"/>
        <w:jc w:val="start"/>
        <w:rPr>
          <w:rFonts w:ascii="Times New Roman" w:hAnsi="Times New Roman"/>
          <w:bCs/>
          <w:kern w:val="0"/>
        </w:rPr>
      </w:pPr>
      <w:r>
        <w:rPr>
          <w:rFonts w:ascii="Times New Roman" w:hAnsi="Times New Roman"/>
          <w:bCs/>
          <w:kern w:val="0"/>
        </w:rPr>
        <w:t>鼓励企业事业单位、社会组织等记录自身活动中产生的市场信用信息。鼓励行业协会、交易平台等根据管理和服务需要，依法依约记录其会员、成员的市场信用信息。</w:t>
      </w:r>
    </w:p>
    <w:p>
      <w:pPr>
        <w:pStyle w:val="Normal"/>
        <w:snapToGrid w:val="false"/>
        <w:spacing w:lineRule="exact" w:line="594"/>
        <w:ind w:firstLineChars="200" w:startChars="0" w:start="0" w:endChars="0" w:end="0"/>
        <w:jc w:val="start"/>
        <w:rPr>
          <w:rFonts w:ascii="Times New Roman" w:hAnsi="Times New Roman" w:hint="eastAsia"/>
          <w:b/>
          <w:bCs/>
        </w:rPr>
      </w:pPr>
      <w:r>
        <w:rPr>
          <w:rFonts w:ascii="宋体;SimSun" w:hAnsi="宋体;SimSun" w:cs="宋体;SimSun" w:eastAsia="方正黑体_GBK"/>
          <w:bCs/>
          <w:kern w:val="0"/>
        </w:rPr>
        <w:t>第</w:t>
      </w:r>
      <w:r>
        <w:rPr>
          <w:rFonts w:ascii="宋体;SimSun" w:hAnsi="宋体;SimSun" w:cs="宋体;SimSun" w:hint="eastAsia" w:eastAsia="方正黑体_GBK"/>
          <w:bCs/>
          <w:kern w:val="0"/>
        </w:rPr>
        <w:t>二十四</w:t>
      </w:r>
      <w:r>
        <w:rPr>
          <w:rFonts w:ascii="宋体;SimSun" w:hAnsi="宋体;SimSun" w:cs="宋体;SimSun" w:eastAsia="方正黑体_GBK"/>
          <w:bCs/>
          <w:kern w:val="0"/>
        </w:rPr>
        <w:t>条</w:t>
      </w:r>
      <w:r>
        <w:rPr>
          <w:rFonts w:ascii="宋体;SimSun" w:hAnsi="宋体;SimSun" w:cs="宋体;SimSun" w:hint="eastAsia" w:eastAsia="方正黑体_GBK"/>
          <w:bCs/>
          <w:kern w:val="0"/>
        </w:rPr>
        <w:t xml:space="preserve">  </w:t>
      </w:r>
      <w:r>
        <w:rPr>
          <w:rFonts w:ascii="Times New Roman" w:hAnsi="Times New Roman" w:hint="eastAsia"/>
        </w:rPr>
        <w:t>公共信用信息属于依法向社会公开的企业信息的，各级行政机关和企业</w:t>
      </w:r>
      <w:r>
        <w:rPr>
          <w:rFonts w:hint="eastAsia"/>
        </w:rPr>
        <w:t>应</w:t>
      </w:r>
      <w:r>
        <w:rPr>
          <w:rFonts w:ascii="Times New Roman" w:hAnsi="Times New Roman" w:hint="eastAsia"/>
        </w:rPr>
        <w:t>当依照国家和本市规定，通过国家企业信用信息公示系统向社会公开，任何组织和个人依法可以查询、使用。</w:t>
      </w:r>
    </w:p>
    <w:p>
      <w:pPr>
        <w:pStyle w:val="Normal"/>
        <w:snapToGrid w:val="false"/>
        <w:spacing w:lineRule="exact" w:line="594"/>
        <w:ind w:firstLineChars="200" w:startChars="0" w:start="0" w:endChars="0" w:end="0"/>
        <w:jc w:val="start"/>
        <w:rPr>
          <w:rFonts w:ascii="Calibri" w:hAnsi="Calibri" w:eastAsia="宋体;SimSun" w:cs="Calibri"/>
        </w:rPr>
      </w:pPr>
      <w:r>
        <w:rPr>
          <w:rFonts w:ascii="Times New Roman" w:hAnsi="Times New Roman" w:hint="eastAsia"/>
        </w:rPr>
        <w:t>公共信用信息属于主动公开的政府信息的，各级行政机关应当依照国家和本市规定，通过政府公报、新闻发布会、互联网以及报刊、广播和电视等方式发布；属于依申请公开的，应当依法通过提供复制件、安排查阅相关资料等适当形式提供。</w:t>
      </w:r>
    </w:p>
    <w:p>
      <w:pPr>
        <w:pStyle w:val="Normal"/>
        <w:spacing w:lineRule="exact" w:line="594"/>
        <w:ind w:firstLineChars="200" w:startChars="0" w:start="0" w:endChars="0" w:end="0"/>
        <w:jc w:val="start"/>
        <w:rPr/>
      </w:pPr>
      <w:r>
        <w:rPr>
          <w:rFonts w:ascii="Times New Roman" w:hAnsi="Times New Roman" w:eastAsia="方正黑体_GBK"/>
          <w:bCs/>
          <w:kern w:val="0"/>
        </w:rPr>
        <w:t>第</w:t>
      </w:r>
      <w:r>
        <w:rPr>
          <w:rFonts w:ascii="Times New Roman" w:hAnsi="Times New Roman" w:hint="eastAsia" w:eastAsia="方正黑体_GBK"/>
          <w:bCs/>
          <w:kern w:val="0"/>
        </w:rPr>
        <w:t>二十五</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bCs/>
          <w:kern w:val="0"/>
        </w:rPr>
        <w:t>本市建立发展改革部门、政务数据资源主管部门、征信业监督管理机构、市场监督管理部门、司法机关等相关单位参与的沟通协作机制，推动公共信用信息平台与金融信用信息基础数据库、国家企业信用信息公示系统等相关信用信息系统的开放合作，满足社会需求。</w:t>
      </w:r>
    </w:p>
    <w:p>
      <w:pPr>
        <w:pStyle w:val="Normal"/>
        <w:spacing w:lineRule="exact" w:line="594"/>
        <w:ind w:firstLineChars="200" w:startChars="0" w:start="0" w:endChars="0" w:end="0"/>
        <w:jc w:val="start"/>
        <w:rPr>
          <w:rFonts w:ascii="Times New Roman" w:hAnsi="Times New Roman"/>
          <w:bCs/>
          <w:kern w:val="0"/>
        </w:rPr>
      </w:pPr>
      <w:r>
        <w:rPr>
          <w:rFonts w:ascii="Times New Roman" w:hAnsi="Times New Roman"/>
          <w:bCs/>
          <w:kern w:val="0"/>
        </w:rPr>
        <w:t>鼓励建立公共信用信息和市场信用信息的互通融合机制，推动公共信用信息和市场信用信息的互通、共享，创新社会信用信息应用。</w:t>
      </w:r>
    </w:p>
    <w:p>
      <w:pPr>
        <w:pStyle w:val="Normal"/>
        <w:spacing w:lineRule="exact" w:line="594"/>
        <w:ind w:firstLineChars="200" w:startChars="0" w:start="0" w:endChars="0" w:end="0"/>
        <w:jc w:val="start"/>
        <w:rPr>
          <w:rFonts w:ascii="Times New Roman" w:hAnsi="Times New Roman" w:eastAsia="方正黑体_GBK"/>
          <w:bCs/>
          <w:kern w:val="0"/>
        </w:rPr>
      </w:pPr>
      <w:r>
        <w:rPr>
          <w:rFonts w:ascii="Times New Roman" w:hAnsi="Times New Roman" w:eastAsia="方正黑体_GBK"/>
          <w:bCs/>
          <w:kern w:val="0"/>
        </w:rPr>
        <w:t>第</w:t>
      </w:r>
      <w:r>
        <w:rPr>
          <w:rFonts w:ascii="Times New Roman" w:hAnsi="Times New Roman" w:hint="eastAsia" w:eastAsia="方正黑体_GBK"/>
          <w:bCs/>
          <w:kern w:val="0"/>
        </w:rPr>
        <w:t>二十六</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bCs/>
          <w:kern w:val="0"/>
        </w:rPr>
        <w:t>本市</w:t>
      </w:r>
      <w:r>
        <w:rPr>
          <w:rFonts w:ascii="Times New Roman" w:hAnsi="Times New Roman" w:hint="eastAsia"/>
        </w:rPr>
        <w:t>鼓励信用主体在“信用中国（重庆）”网站或者其他渠道上自愿注册、提供资质证照、市场经营、合同履约、社会公益等信用信息，对信息合法性、真实性、完整性公开作出信用承诺，并授权网站对相关信息进行整合、共享与应</w:t>
      </w:r>
      <w:r>
        <w:rPr>
          <w:rFonts w:ascii="Times New Roman" w:hAnsi="Times New Roman"/>
          <w:bCs/>
          <w:kern w:val="0"/>
        </w:rPr>
        <w:t>用。</w:t>
      </w:r>
    </w:p>
    <w:p>
      <w:pPr>
        <w:pStyle w:val="Normal"/>
        <w:spacing w:lineRule="exact" w:line="594"/>
        <w:ind w:firstLineChars="200" w:startChars="0" w:start="0" w:endChars="0" w:end="0"/>
        <w:jc w:val="start"/>
        <w:rPr>
          <w:rFonts w:ascii="Times New Roman" w:hAnsi="Times New Roman" w:eastAsia="方正黑体_GBK"/>
          <w:bCs/>
          <w:kern w:val="0"/>
        </w:rPr>
      </w:pPr>
      <w:r>
        <w:rPr>
          <w:rFonts w:ascii="Times New Roman" w:hAnsi="Times New Roman" w:eastAsia="方正黑体_GBK"/>
          <w:bCs/>
          <w:kern w:val="0"/>
        </w:rPr>
        <w:t>第</w:t>
      </w:r>
      <w:r>
        <w:rPr>
          <w:rFonts w:ascii="Times New Roman" w:hAnsi="Times New Roman" w:hint="eastAsia" w:eastAsia="方正黑体_GBK"/>
          <w:bCs/>
          <w:kern w:val="0"/>
        </w:rPr>
        <w:t>二十七</w:t>
      </w:r>
      <w:r>
        <w:rPr>
          <w:rFonts w:ascii="Times New Roman" w:hAnsi="Times New Roman" w:eastAsia="方正黑体_GBK"/>
          <w:bCs/>
          <w:kern w:val="0"/>
        </w:rPr>
        <w:t>条</w:t>
      </w:r>
      <w:r>
        <w:rPr>
          <w:rFonts w:ascii="Times New Roman" w:hAnsi="Times New Roman" w:hint="eastAsia" w:eastAsia="方正黑体_GBK"/>
          <w:bCs/>
          <w:kern w:val="0"/>
        </w:rPr>
        <w:t xml:space="preserve">  </w:t>
      </w:r>
      <w:r>
        <w:rPr>
          <w:rFonts w:ascii="Times New Roman" w:hAnsi="Times New Roman"/>
          <w:kern w:val="0"/>
        </w:rPr>
        <w:t>信用服务机构、信用信息提供单位应当建立社会信用信息安全管理和应急处置制度，制定本单位工作人员信息查询规范，采取安全保密措施，保障社会信用信息归集、采集、开放、查询和应用全过程的安全。</w:t>
      </w:r>
    </w:p>
    <w:p>
      <w:pPr>
        <w:pStyle w:val="Normal"/>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w:t>
      </w:r>
      <w:r>
        <w:rPr>
          <w:rFonts w:ascii="Times New Roman" w:hAnsi="Times New Roman" w:hint="eastAsia" w:eastAsia="方正黑体_GBK"/>
          <w:bCs/>
        </w:rPr>
        <w:t>二十八</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信用服务机构、信用信息提供单位及其工作人员，不得非法归集、采集、开放、查询和应用社会信用信息，</w:t>
      </w:r>
      <w:r>
        <w:rPr>
          <w:rFonts w:ascii="Times New Roman" w:hAnsi="Times New Roman" w:hint="eastAsia"/>
        </w:rPr>
        <w:t>不得篡改、虚构、泄露、窃取、隐匿、违规删除或者非法买卖社会信用信息</w:t>
      </w:r>
      <w:r>
        <w:rPr>
          <w:rFonts w:ascii="Times New Roman" w:hAnsi="Times New Roman"/>
        </w:rPr>
        <w:t>，不得泄露国家秘密、商业秘密和侵犯个人隐私</w:t>
      </w:r>
      <w:r>
        <w:rPr>
          <w:rFonts w:ascii="Times New Roman" w:hAnsi="Times New Roman" w:hint="eastAsia"/>
        </w:rPr>
        <w:t>。</w:t>
      </w:r>
    </w:p>
    <w:p>
      <w:pPr>
        <w:pStyle w:val="Normal"/>
        <w:snapToGrid w:val="false"/>
        <w:spacing w:lineRule="exact" w:line="594"/>
        <w:jc w:val="center"/>
        <w:rPr>
          <w:rFonts w:ascii="Times New Roman" w:hAnsi="Times New Roman" w:eastAsia="方正黑体_GBK"/>
          <w:bCs/>
        </w:rPr>
      </w:pPr>
      <w:r>
        <w:rPr>
          <w:rFonts w:eastAsia="方正黑体_GBK" w:ascii="Times New Roman" w:hAnsi="Times New Roman"/>
          <w:bCs/>
        </w:rPr>
      </w:r>
    </w:p>
    <w:p>
      <w:pPr>
        <w:pStyle w:val="Normal"/>
        <w:snapToGrid w:val="false"/>
        <w:spacing w:lineRule="exact" w:line="594"/>
        <w:jc w:val="center"/>
        <w:rPr/>
      </w:pPr>
      <w:r>
        <w:rPr>
          <w:rFonts w:ascii="Times New Roman" w:hAnsi="Times New Roman" w:eastAsia="方正黑体_GBK"/>
        </w:rPr>
        <w:t>第</w:t>
      </w:r>
      <w:r>
        <w:rPr>
          <w:rFonts w:ascii="Times New Roman" w:hAnsi="Times New Roman" w:hint="eastAsia" w:eastAsia="方正黑体_GBK"/>
        </w:rPr>
        <w:t>四</w:t>
      </w:r>
      <w:r>
        <w:rPr>
          <w:rFonts w:ascii="Times New Roman" w:hAnsi="Times New Roman" w:eastAsia="方正黑体_GBK"/>
        </w:rPr>
        <w:t>章  信用信息应用</w:t>
      </w:r>
    </w:p>
    <w:p>
      <w:pPr>
        <w:pStyle w:val="Normal"/>
        <w:spacing w:lineRule="exact" w:line="594"/>
        <w:ind w:firstLineChars="200" w:startChars="0" w:start="0" w:endChars="0" w:end="0"/>
        <w:rPr>
          <w:rFonts w:ascii="Times New Roman" w:hAnsi="Times New Roman" w:eastAsia="方正黑体_GBK"/>
          <w:bCs/>
        </w:rPr>
      </w:pPr>
      <w:r>
        <w:rPr>
          <w:rFonts w:eastAsia="方正黑体_GBK" w:ascii="Times New Roman" w:hAnsi="Times New Roman"/>
          <w:bCs/>
        </w:rPr>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二十九</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信用服</w:t>
      </w:r>
      <w:r>
        <w:rPr>
          <w:rFonts w:ascii="Times New Roman" w:hAnsi="Times New Roman" w:hint="eastAsia"/>
        </w:rPr>
        <w:t>务机构依法可以对社会信用信息进行归集、采集，并根据信用主体的查询申请向其提供信用报告。</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公共信用报告由公共信用服务机构免费提供。市场信用报告由市场信用</w:t>
      </w:r>
      <w:r>
        <w:rPr>
          <w:rFonts w:ascii="Times New Roman" w:hAnsi="Times New Roman"/>
        </w:rPr>
        <w:t>服务机构提供，并符合有关法律、</w:t>
      </w:r>
      <w:r>
        <w:rPr>
          <w:rFonts w:ascii="Times New Roman" w:hAnsi="Times New Roman" w:hint="eastAsia"/>
        </w:rPr>
        <w:t>法规</w:t>
      </w:r>
      <w:r>
        <w:rPr>
          <w:rFonts w:ascii="Times New Roman" w:hAnsi="Times New Roman"/>
        </w:rPr>
        <w:t>的规定。</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三十</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市</w:t>
      </w:r>
      <w:r>
        <w:rPr>
          <w:rFonts w:ascii="Times New Roman" w:hAnsi="Times New Roman" w:hint="eastAsia"/>
        </w:rPr>
        <w:t>公共信用服务机构依法可以对信用主体开展公共信用综合评价。市、区县（自治县）有关部门和单位可以根据履职需要，结合公共信用综合评价，开展行业信用评价，实施信用分级分类监管。</w:t>
      </w:r>
    </w:p>
    <w:p>
      <w:pPr>
        <w:pStyle w:val="Normal"/>
        <w:spacing w:lineRule="exact" w:line="594"/>
        <w:ind w:firstLineChars="200" w:startChars="0" w:start="0" w:endChars="0" w:end="0"/>
        <w:rPr>
          <w:rFonts w:ascii="Times New Roman" w:hAnsi="Times New Roman"/>
        </w:rPr>
      </w:pPr>
      <w:r>
        <w:rPr>
          <w:rFonts w:ascii="Times New Roman" w:hAnsi="Times New Roman" w:hint="eastAsia"/>
        </w:rPr>
        <w:t>前款规定的信用评价适用于市、区县（自治县）有关部门和单位的行政管理和公共服务，不适用于对市场经济活动中市场主体的信用评判。</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市场信用服务机构开展评价、评级业务应当符合有关法律、行</w:t>
      </w:r>
      <w:r>
        <w:rPr>
          <w:rFonts w:ascii="Times New Roman" w:hAnsi="Times New Roman"/>
        </w:rPr>
        <w:t>政法规的规定。</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三十一</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市、区县（自治县）有关部门和单位在法定权限范围内，可以对信用良好的信用主体采取与其守信行为、社会贡献程度相适应的以下激励措施，并向社会公布：</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（一）在行政许可、资质等级评定中，给予优先办理、简化程序等便利服务措施；</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（二）在日常监督管理和专项检查中，优化检查频次；</w:t>
      </w:r>
    </w:p>
    <w:p>
      <w:pPr>
        <w:pStyle w:val="Normal"/>
        <w:spacing w:lineRule="exact" w:line="594"/>
        <w:ind w:firstLineChars="200" w:startChars="0" w:start="0" w:endChars="0" w:end="0"/>
        <w:rPr/>
      </w:pPr>
      <w:r>
        <w:rPr>
          <w:rFonts w:ascii="Times New Roman" w:hAnsi="Times New Roman" w:hint="eastAsia"/>
        </w:rPr>
        <w:t>（三）在</w:t>
      </w:r>
      <w:r>
        <w:rPr>
          <w:rFonts w:ascii="Times New Roman" w:hAnsi="Times New Roman"/>
        </w:rPr>
        <w:t>财政性</w:t>
      </w:r>
      <w:r>
        <w:rPr>
          <w:rFonts w:ascii="Times New Roman" w:hAnsi="Times New Roman" w:hint="eastAsia"/>
        </w:rPr>
        <w:t>资金补助、招商引资配套优惠、税收优惠、创业扶持等政府优惠政策实施中，同等条件下列为优先选择对象或者给予重点支持；</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（四）在人才评价工作中，同等条件下列为优先选择对象；</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（五）在就业、创业等方面给予支持和便利；</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（六）在信用门户网站或者相关媒体上进行宣传推介；</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（七）法律、法规规定</w:t>
      </w:r>
      <w:r>
        <w:rPr>
          <w:rFonts w:ascii="Times New Roman" w:hAnsi="Times New Roman"/>
        </w:rPr>
        <w:t>的可以采取的其他激励措施。</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三十二</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设列严重失信主体名单，应当严格限制在下列领域：</w:t>
      </w:r>
    </w:p>
    <w:p>
      <w:pPr>
        <w:pStyle w:val="Normal"/>
        <w:spacing w:lineRule="exact" w:line="594"/>
        <w:ind w:firstLineChars="200" w:startChars="0" w:start="0" w:endChars="0" w:end="0"/>
        <w:rPr>
          <w:rFonts w:ascii="Times New Roman" w:hAnsi="Times New Roman"/>
        </w:rPr>
      </w:pPr>
      <w:r>
        <w:rPr>
          <w:rFonts w:ascii="Times New Roman" w:hAnsi="Times New Roman"/>
        </w:rPr>
        <w:t>（一）严重危害自然人身体健康和生命安全的；</w:t>
      </w:r>
    </w:p>
    <w:p>
      <w:pPr>
        <w:pStyle w:val="Normal"/>
        <w:spacing w:lineRule="exact" w:line="594"/>
        <w:ind w:firstLineChars="200" w:startChars="0" w:start="0" w:endChars="0" w:end="0"/>
        <w:rPr>
          <w:rFonts w:ascii="Times New Roman" w:hAnsi="Times New Roman"/>
        </w:rPr>
      </w:pPr>
      <w:r>
        <w:rPr>
          <w:rFonts w:ascii="Times New Roman" w:hAnsi="Times New Roman"/>
        </w:rPr>
        <w:t>（二）严重破坏市场公平竞争秩序和社会正常秩序的；</w:t>
      </w:r>
    </w:p>
    <w:p>
      <w:pPr>
        <w:pStyle w:val="Normal"/>
        <w:spacing w:lineRule="exact" w:line="594"/>
        <w:ind w:firstLineChars="200" w:startChars="0" w:start="0" w:endChars="0" w:end="0"/>
        <w:rPr>
          <w:rFonts w:ascii="Times New Roman" w:hAnsi="Times New Roman"/>
        </w:rPr>
      </w:pPr>
      <w:r>
        <w:rPr>
          <w:rFonts w:ascii="Times New Roman" w:hAnsi="Times New Roman"/>
        </w:rPr>
        <w:t>（三）拒不履行法定义务且严重影响司法机关和行政机关公信力的；</w:t>
      </w:r>
    </w:p>
    <w:p>
      <w:pPr>
        <w:pStyle w:val="Normal"/>
        <w:spacing w:lineRule="exact" w:line="594"/>
        <w:ind w:firstLineChars="200" w:startChars="0" w:start="0" w:endChars="0" w:end="0"/>
        <w:rPr>
          <w:rFonts w:ascii="Times New Roman" w:hAnsi="Times New Roman"/>
        </w:rPr>
      </w:pPr>
      <w:r>
        <w:rPr>
          <w:rFonts w:ascii="Times New Roman" w:hAnsi="Times New Roman"/>
        </w:rPr>
        <w:t>（四）拒不履行国防义务的；</w:t>
      </w:r>
    </w:p>
    <w:p>
      <w:pPr>
        <w:pStyle w:val="Normal"/>
        <w:spacing w:lineRule="exact" w:line="594"/>
        <w:ind w:firstLineChars="200" w:startChars="0" w:start="0" w:endChars="0" w:end="0"/>
        <w:rPr>
          <w:rFonts w:ascii="Times New Roman" w:hAnsi="Times New Roman"/>
        </w:rPr>
      </w:pPr>
      <w:r>
        <w:rPr>
          <w:rFonts w:ascii="Times New Roman" w:hAnsi="Times New Roman"/>
        </w:rPr>
        <w:t>（五）国家规定的其他领域。</w:t>
      </w:r>
    </w:p>
    <w:p>
      <w:pPr>
        <w:pStyle w:val="Normal"/>
        <w:spacing w:lineRule="exact" w:line="594"/>
        <w:ind w:firstLineChars="200" w:startChars="0" w:start="0" w:endChars="0" w:end="0"/>
        <w:rPr>
          <w:rFonts w:ascii="Times New Roman" w:hAnsi="Times New Roman"/>
        </w:rPr>
      </w:pPr>
      <w:r>
        <w:rPr>
          <w:rFonts w:ascii="Times New Roman" w:hAnsi="Times New Roman"/>
        </w:rPr>
        <w:t>全国统一实施的严重失信主体名单，按照国家统一的认定标准实施。本市范围内实施的严重失信主体名单，其认定标准与移出条件、程序以及救济措施由本市地方性法规规定。</w:t>
      </w:r>
    </w:p>
    <w:p>
      <w:pPr>
        <w:pStyle w:val="Normal"/>
        <w:spacing w:lineRule="exact" w:line="594"/>
        <w:ind w:firstLineChars="200" w:startChars="0" w:start="0" w:endChars="0" w:end="0"/>
        <w:rPr/>
      </w:pPr>
      <w:r>
        <w:rPr>
          <w:rFonts w:ascii="Times New Roman" w:hAnsi="Times New Roman"/>
        </w:rPr>
        <w:t>市、区县（自治县）有关部门和单位在作出认定严重失信主体决定前</w:t>
      </w:r>
      <w:r>
        <w:rPr>
          <w:rFonts w:ascii="Times New Roman" w:hAnsi="Times New Roman" w:hint="eastAsia"/>
        </w:rPr>
        <w:t>，应当告知当事人作出决定的事实、理由、依据和依法享有的权利；当事人提出异议的，应当予以核实并在规定时限内反馈结果；认定严重失信主体后，应当向该失信主体送达书面文书，载明事实、理由、依据、失信惩戒措施提示、移出条件和程序以及救济措施等，必要时也可以由认定部门单独制作认定严重失信主体的决定文书。</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三十三</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市、区县（自治县）有关部门和单位将法人、非法人组织等认定为严重失信主体的，应当依照国家有关规定将其法定代表人、主要负责人、实际控制人和其他负有直接责任的人员纳入失信记录。</w:t>
      </w:r>
    </w:p>
    <w:p>
      <w:pPr>
        <w:pStyle w:val="Normal"/>
        <w:snapToGrid w:val="false"/>
        <w:spacing w:lineRule="exact" w:line="594"/>
        <w:ind w:firstLineChars="200" w:startChars="0" w:start="0" w:endChars="0" w:end="0"/>
        <w:rPr>
          <w:rFonts w:ascii="Times New Roman" w:hAnsi="Times New Roman" w:hint="eastAsia"/>
        </w:rPr>
      </w:pPr>
      <w:r>
        <w:rPr>
          <w:rFonts w:ascii="Times New Roman" w:hAnsi="Times New Roman" w:hint="eastAsia"/>
        </w:rPr>
        <w:t>市、区县（自治县）有关部门和单位将信用主体列入严重失信主体名单的，还应当依照国家有关规定通过公共信用信息平台与其他部门和单位共用严重失信主体名单。</w:t>
      </w:r>
    </w:p>
    <w:p>
      <w:pPr>
        <w:pStyle w:val="Normal"/>
        <w:shd w:fill="FFFFFF" w:val="clear"/>
        <w:spacing w:lineRule="exact" w:line="594"/>
        <w:ind w:firstLineChars="200" w:startChars="0" w:start="0" w:endChars="0" w:end="0"/>
        <w:rPr>
          <w:rFonts w:ascii="方正黑体_GBK" w:hAnsi="方正黑体_GBK" w:eastAsia="方正黑体_GBK" w:cs="方正黑体_GBK" w:hint="eastAsia"/>
          <w:kern w:val="0"/>
        </w:rPr>
      </w:pPr>
      <w:r>
        <w:rPr>
          <w:rFonts w:ascii="方正黑体_GBK" w:hAnsi="方正黑体_GBK" w:cs="方正黑体_GBK" w:hint="eastAsia" w:eastAsia="方正黑体_GBK"/>
          <w:kern w:val="0"/>
        </w:rPr>
        <w:t xml:space="preserve">第三十四条  </w:t>
      </w:r>
      <w:r>
        <w:rPr>
          <w:rFonts w:ascii="Times New Roman" w:hAnsi="Times New Roman" w:hint="eastAsia"/>
        </w:rPr>
        <w:t>失信惩戒措施实行清单制管理。对失信主体采取惩戒措施，应当严格按照全国失信惩戒措施基础清单和本市失信惩戒措施补充清单执行。</w:t>
      </w:r>
    </w:p>
    <w:p>
      <w:pPr>
        <w:pStyle w:val="Normal"/>
        <w:spacing w:lineRule="exact" w:line="594"/>
        <w:ind w:firstLineChars="200" w:startChars="0" w:start="0" w:endChars="0" w:end="0"/>
        <w:jc w:val="start"/>
        <w:rPr/>
      </w:pPr>
      <w:r>
        <w:rPr>
          <w:rFonts w:ascii="Times New Roman" w:hAnsi="Times New Roman" w:eastAsia="方正黑体_GBK"/>
          <w:kern w:val="0"/>
        </w:rPr>
        <w:t>第</w:t>
      </w:r>
      <w:r>
        <w:rPr>
          <w:rFonts w:ascii="Times New Roman" w:hAnsi="Times New Roman" w:hint="eastAsia" w:eastAsia="方正黑体_GBK"/>
          <w:kern w:val="0"/>
        </w:rPr>
        <w:t>三十五</w:t>
      </w:r>
      <w:r>
        <w:rPr>
          <w:rFonts w:ascii="Times New Roman" w:hAnsi="Times New Roman" w:eastAsia="方正黑体_GBK"/>
          <w:kern w:val="0"/>
        </w:rPr>
        <w:t>条</w:t>
      </w:r>
      <w:r>
        <w:rPr>
          <w:rFonts w:ascii="Times New Roman" w:hAnsi="Times New Roman" w:hint="eastAsia" w:eastAsia="方正黑体_GBK"/>
          <w:kern w:val="0"/>
        </w:rPr>
        <w:t xml:space="preserve">  </w:t>
      </w:r>
      <w:r>
        <w:rPr>
          <w:rFonts w:ascii="Times New Roman" w:hAnsi="Times New Roman" w:hint="eastAsia"/>
        </w:rPr>
        <w:t>市发展改革部门负责编制和调整本市失信</w:t>
      </w:r>
      <w:r>
        <w:rPr>
          <w:rFonts w:ascii="Times New Roman" w:hAnsi="Times New Roman"/>
        </w:rPr>
        <w:t>惩戒措施补充清单，并向社会公布。</w:t>
      </w:r>
    </w:p>
    <w:p>
      <w:pPr>
        <w:pStyle w:val="Normal"/>
        <w:spacing w:lineRule="exact" w:line="594"/>
        <w:ind w:firstLineChars="200" w:startChars="0" w:start="0" w:endChars="0" w:end="0"/>
        <w:jc w:val="start"/>
        <w:rPr/>
      </w:pPr>
      <w:r>
        <w:rPr>
          <w:rFonts w:ascii="Times New Roman" w:hAnsi="Times New Roman"/>
        </w:rPr>
        <w:t>拟纳入或者调整本市失信惩戒措施补充清单的惩戒措施，由市级有关部门和单位依据本市地方性法规中有关失信惩戒措施的规定提出建议。市发展改革部门收到建议后，应当征求各区县（自治县）、各有关部门与相关市场主体、行业协会、法律服务机构、专家学者和社会公众的意见，并报经市人民政府核准后纳入或者</w:t>
      </w:r>
      <w:r>
        <w:rPr>
          <w:rFonts w:ascii="Times New Roman" w:hAnsi="Times New Roman" w:hint="eastAsia"/>
        </w:rPr>
        <w:t>调整补充清单。</w:t>
      </w:r>
    </w:p>
    <w:p>
      <w:pPr>
        <w:pStyle w:val="Normal"/>
        <w:spacing w:lineRule="exact" w:line="594"/>
        <w:ind w:firstLineChars="200" w:startChars="0" w:start="0" w:endChars="0" w:end="0"/>
        <w:jc w:val="start"/>
        <w:rPr/>
      </w:pPr>
      <w:r>
        <w:rPr>
          <w:rFonts w:ascii="Times New Roman" w:hAnsi="Times New Roman" w:eastAsia="方正黑体_GBK"/>
          <w:kern w:val="0"/>
        </w:rPr>
        <w:t>第</w:t>
      </w:r>
      <w:r>
        <w:rPr>
          <w:rFonts w:ascii="Times New Roman" w:hAnsi="Times New Roman" w:hint="eastAsia" w:eastAsia="方正黑体_GBK"/>
          <w:kern w:val="0"/>
        </w:rPr>
        <w:t>三十六</w:t>
      </w:r>
      <w:r>
        <w:rPr>
          <w:rFonts w:ascii="Times New Roman" w:hAnsi="Times New Roman" w:eastAsia="方正黑体_GBK"/>
          <w:kern w:val="0"/>
        </w:rPr>
        <w:t>条</w:t>
      </w:r>
      <w:r>
        <w:rPr>
          <w:rFonts w:ascii="Times New Roman" w:hAnsi="Times New Roman" w:hint="eastAsia" w:eastAsia="方正黑体_GBK"/>
          <w:kern w:val="0"/>
        </w:rPr>
        <w:t xml:space="preserve">  </w:t>
      </w:r>
      <w:r>
        <w:rPr>
          <w:rFonts w:ascii="Times New Roman" w:hAnsi="Times New Roman"/>
        </w:rPr>
        <w:t>设定失信惩戒措施</w:t>
      </w:r>
      <w:r>
        <w:rPr>
          <w:rFonts w:ascii="Times New Roman" w:hAnsi="Times New Roman" w:hint="eastAsia"/>
        </w:rPr>
        <w:t>应当遵循关联、比例的原则，</w:t>
      </w:r>
      <w:r>
        <w:rPr>
          <w:rFonts w:ascii="Times New Roman" w:hAnsi="Times New Roman"/>
        </w:rPr>
        <w:t>限制在下列范围内</w:t>
      </w:r>
      <w:r>
        <w:rPr>
          <w:rFonts w:ascii="Times New Roman" w:hAnsi="Times New Roman" w:hint="eastAsia"/>
        </w:rPr>
        <w:t>：</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（一）</w:t>
      </w:r>
      <w:r>
        <w:rPr>
          <w:rFonts w:ascii="Times New Roman" w:hAnsi="Times New Roman"/>
        </w:rPr>
        <w:t>约谈；</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（二）在实施行政许可等工作中，列为重点审查对象，不适用告知承诺等便利服务措施；</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（三）在日常监管中，列为重点监管对象，增加监管频次，加强现场检查；</w:t>
      </w:r>
    </w:p>
    <w:p>
      <w:pPr>
        <w:pStyle w:val="Normal"/>
        <w:spacing w:lineRule="exact" w:line="594"/>
        <w:ind w:firstLineChars="200" w:startChars="0" w:start="0" w:endChars="0" w:end="0"/>
        <w:jc w:val="start"/>
        <w:rPr/>
      </w:pPr>
      <w:r>
        <w:rPr>
          <w:rFonts w:ascii="Times New Roman" w:hAnsi="Times New Roman" w:hint="eastAsia"/>
        </w:rPr>
        <w:t>（四）在</w:t>
      </w:r>
      <w:r>
        <w:rPr>
          <w:rFonts w:ascii="Times New Roman" w:hAnsi="Times New Roman"/>
        </w:rPr>
        <w:t>财政性资金补助、项目支持中，作相应限制；</w:t>
      </w:r>
    </w:p>
    <w:p>
      <w:pPr>
        <w:pStyle w:val="Normal"/>
        <w:spacing w:lineRule="exact" w:line="594"/>
        <w:ind w:firstLineChars="200" w:startChars="0" w:start="0" w:endChars="0" w:end="0"/>
        <w:jc w:val="start"/>
        <w:rPr>
          <w:rFonts w:ascii="方正黑体_GBK" w:hAnsi="方正黑体_GBK" w:eastAsia="方正黑体_GBK" w:cs="方正黑体_GBK" w:hint="eastAsia"/>
        </w:rPr>
      </w:pPr>
      <w:r>
        <w:rPr>
          <w:rFonts w:ascii="Times New Roman" w:hAnsi="Times New Roman"/>
        </w:rPr>
        <w:t>（五）法律、法规和国家规定的其他惩戒措施。</w:t>
      </w:r>
    </w:p>
    <w:p>
      <w:pPr>
        <w:pStyle w:val="Normal"/>
        <w:spacing w:lineRule="exact" w:line="594"/>
        <w:ind w:firstLineChars="200" w:startChars="0" w:start="0" w:endChars="0" w:end="0"/>
        <w:jc w:val="start"/>
        <w:rPr/>
      </w:pPr>
      <w:r>
        <w:rPr>
          <w:rFonts w:ascii="Times New Roman" w:hAnsi="Times New Roman" w:eastAsia="方正黑体_GBK"/>
          <w:bCs/>
        </w:rPr>
        <w:t>第</w:t>
      </w:r>
      <w:r>
        <w:rPr>
          <w:rFonts w:ascii="Times New Roman" w:hAnsi="Times New Roman" w:hint="eastAsia" w:eastAsia="方正黑体_GBK"/>
          <w:bCs/>
        </w:rPr>
        <w:t>三十七</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市、区县（自治县）有关部门和单位应当依照失信惩戒措施清单，根据失信行为的性质、情节和社会影响，对失信主体采取轻重适度的惩戒措施。</w:t>
      </w:r>
    </w:p>
    <w:p>
      <w:pPr>
        <w:pStyle w:val="Normal"/>
        <w:spacing w:lineRule="exact" w:line="594"/>
        <w:ind w:firstLineChars="200" w:startChars="0" w:start="0" w:endChars="0" w:end="0"/>
        <w:jc w:val="start"/>
        <w:rPr>
          <w:rFonts w:ascii="方正黑体_GBK" w:hAnsi="方正黑体_GBK" w:eastAsia="方正黑体_GBK" w:cs="方正黑体_GBK" w:hint="eastAsia"/>
        </w:rPr>
      </w:pPr>
      <w:r>
        <w:rPr>
          <w:rFonts w:ascii="Times New Roman" w:hAnsi="Times New Roman" w:hint="eastAsia"/>
        </w:rPr>
        <w:t>对于轻微偶发失信行为及时改正或者采取补救措施，没有造成社会危害后果的，应当免于失信惩戒。</w:t>
      </w:r>
    </w:p>
    <w:p>
      <w:pPr>
        <w:pStyle w:val="Normal"/>
        <w:spacing w:lineRule="exact" w:line="594"/>
        <w:ind w:firstLineChars="200" w:startChars="0" w:start="0" w:endChars="0" w:end="0"/>
        <w:jc w:val="start"/>
        <w:rPr/>
      </w:pPr>
      <w:r>
        <w:rPr>
          <w:rFonts w:ascii="Times New Roman" w:hAnsi="Times New Roman" w:eastAsia="方正黑体_GBK"/>
          <w:bCs/>
        </w:rPr>
        <w:t>第</w:t>
      </w:r>
      <w:r>
        <w:rPr>
          <w:rFonts w:ascii="Times New Roman" w:hAnsi="Times New Roman" w:hint="eastAsia" w:eastAsia="方正黑体_GBK"/>
          <w:bCs/>
        </w:rPr>
        <w:t>三十八</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鼓</w:t>
      </w:r>
      <w:r>
        <w:rPr>
          <w:rFonts w:ascii="Times New Roman" w:hAnsi="Times New Roman" w:hint="eastAsia"/>
        </w:rPr>
        <w:t>励市场主体在进行生产经营、交易谈判等市场经济活动中利用信用信息对守信主体采取优惠便利、增加交易机会等降低市场交易成本的措施，对失信主体采取取消优惠、提高保证金等增加交易成本的措施。</w:t>
      </w:r>
    </w:p>
    <w:p>
      <w:pPr>
        <w:pStyle w:val="Normal"/>
        <w:spacing w:lineRule="exact" w:line="594"/>
        <w:ind w:firstLineChars="200" w:startChars="0" w:start="0" w:endChars="0" w:end="0"/>
        <w:jc w:val="start"/>
        <w:rPr/>
      </w:pPr>
      <w:r>
        <w:rPr>
          <w:rFonts w:ascii="Times New Roman" w:hAnsi="Times New Roman" w:hint="eastAsia"/>
        </w:rPr>
        <w:t>鼓励金融机构利用信用</w:t>
      </w:r>
      <w:r>
        <w:rPr>
          <w:rFonts w:ascii="Times New Roman" w:hAnsi="Times New Roman"/>
        </w:rPr>
        <w:t>信息对守信主体在融资授信、利率费率、还款方式等方面给予优惠或者便利，对失信主体提高贷款利率和保险费率，或者限制向其提供贷款、保荐、承销、保险等服务。</w:t>
      </w:r>
    </w:p>
    <w:p>
      <w:pPr>
        <w:pStyle w:val="Normal"/>
        <w:snapToGrid w:val="false"/>
        <w:spacing w:lineRule="exact" w:line="594"/>
        <w:jc w:val="center"/>
        <w:rPr>
          <w:rFonts w:ascii="Times New Roman" w:hAnsi="Times New Roman" w:eastAsia="方正黑体_GBK"/>
        </w:rPr>
      </w:pPr>
      <w:r>
        <w:rPr>
          <w:rFonts w:eastAsia="方正黑体_GBK" w:ascii="Times New Roman" w:hAnsi="Times New Roman"/>
        </w:rPr>
      </w:r>
    </w:p>
    <w:p>
      <w:pPr>
        <w:pStyle w:val="Normal"/>
        <w:snapToGrid w:val="false"/>
        <w:spacing w:lineRule="exact" w:line="594"/>
        <w:jc w:val="center"/>
        <w:rPr/>
      </w:pPr>
      <w:r>
        <w:rPr>
          <w:rFonts w:ascii="Times New Roman" w:hAnsi="Times New Roman" w:eastAsia="方正黑体_GBK"/>
        </w:rPr>
        <w:t>第</w:t>
      </w:r>
      <w:r>
        <w:rPr>
          <w:rFonts w:ascii="Times New Roman" w:hAnsi="Times New Roman" w:hint="eastAsia" w:eastAsia="方正黑体_GBK"/>
        </w:rPr>
        <w:t>五</w:t>
      </w:r>
      <w:r>
        <w:rPr>
          <w:rFonts w:ascii="Times New Roman" w:hAnsi="Times New Roman" w:eastAsia="方正黑体_GBK"/>
        </w:rPr>
        <w:t>章  信</w:t>
      </w:r>
      <w:r>
        <w:rPr>
          <w:rFonts w:ascii="Times New Roman" w:hAnsi="Times New Roman" w:hint="eastAsia" w:eastAsia="方正黑体_GBK"/>
        </w:rPr>
        <w:t>用</w:t>
      </w:r>
      <w:r>
        <w:rPr>
          <w:rFonts w:ascii="Times New Roman" w:hAnsi="Times New Roman" w:eastAsia="方正黑体_GBK"/>
        </w:rPr>
        <w:t>主体权益保障</w:t>
      </w:r>
    </w:p>
    <w:p>
      <w:pPr>
        <w:pStyle w:val="Normal"/>
        <w:spacing w:lineRule="exact" w:line="594"/>
        <w:ind w:firstLineChars="200" w:startChars="0" w:start="0" w:endChars="0" w:end="0"/>
        <w:rPr>
          <w:rFonts w:ascii="Times New Roman" w:hAnsi="Times New Roman" w:eastAsia="方正黑体_GBK"/>
          <w:bCs/>
        </w:rPr>
      </w:pPr>
      <w:r>
        <w:rPr>
          <w:rFonts w:eastAsia="方正黑体_GBK" w:ascii="Times New Roman" w:hAnsi="Times New Roman"/>
          <w:bCs/>
        </w:rPr>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三十九</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信用主体有权知晓自身社会信用信息的归集、采集、使用等情况，以及自身信</w:t>
      </w:r>
      <w:r>
        <w:rPr>
          <w:rFonts w:ascii="Times New Roman" w:hAnsi="Times New Roman"/>
        </w:rPr>
        <w:t>用报告载明的信息来源和变动理由，并享有查询自身社会信用信息的权利。</w:t>
      </w:r>
    </w:p>
    <w:p>
      <w:pPr>
        <w:pStyle w:val="Normal"/>
        <w:spacing w:lineRule="exact" w:line="594"/>
        <w:ind w:firstLineChars="200" w:startChars="0" w:start="0" w:endChars="0" w:end="0"/>
        <w:rPr>
          <w:rFonts w:ascii="Times New Roman" w:hAnsi="Times New Roman"/>
        </w:rPr>
      </w:pPr>
      <w:r>
        <w:rPr>
          <w:rFonts w:ascii="Times New Roman" w:hAnsi="Times New Roman"/>
        </w:rPr>
        <w:t>信用服务</w:t>
      </w:r>
      <w:r>
        <w:rPr>
          <w:rFonts w:ascii="Times New Roman" w:hAnsi="Times New Roman" w:hint="eastAsia"/>
        </w:rPr>
        <w:t>机构、其他企业事业单位和组织不得将服务与社会信用信息的归集、采集相捆绑，强迫或者变相强迫信用主体同意。</w:t>
      </w:r>
    </w:p>
    <w:p>
      <w:pPr>
        <w:pStyle w:val="Normal"/>
        <w:spacing w:lineRule="exact" w:line="594"/>
        <w:ind w:firstLineChars="200" w:startChars="0" w:start="0" w:endChars="0" w:end="0"/>
        <w:jc w:val="start"/>
        <w:rPr/>
      </w:pPr>
      <w:r>
        <w:rPr>
          <w:rFonts w:ascii="Times New Roman" w:hAnsi="Times New Roman" w:eastAsia="方正黑体_GBK"/>
          <w:bCs/>
        </w:rPr>
        <w:t>第</w:t>
      </w:r>
      <w:r>
        <w:rPr>
          <w:rFonts w:ascii="Times New Roman" w:hAnsi="Times New Roman" w:hint="eastAsia" w:eastAsia="方正黑体_GBK"/>
          <w:bCs/>
        </w:rPr>
        <w:t>四十</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信用主体认为自身公共信用信息存在错误、遗漏、超过法定期限仍能查询的，可以向公共信用服务机构提出异议申请，并提供相关依据和理由。</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公共信用服务机构应当在收到异议申请之日起一个工作日内作出异议标注，并作出以下处理：</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（一）属于本机构更正范围的，应当在收到异议申请之日起三个工作日内核实、处理完毕；</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二）属于公共信用信息提供单位处理权限范围的，应当在收到异议申请之日起二个工作日内转交公共信用信息提供单位办理，公共信用信息提供单位应当在收到转交的异议申请之日起三个工作日内核实、处理完毕，并告知公共信用服务机构。</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公共信用服务机构应当在收到异议申请之日起五个工作日内将处理结果书面告知异议申请人。</w:t>
      </w:r>
    </w:p>
    <w:p>
      <w:pPr>
        <w:pStyle w:val="Normal"/>
        <w:spacing w:lineRule="exact" w:line="594"/>
        <w:ind w:firstLineChars="200" w:startChars="0" w:start="0" w:endChars="0" w:end="0"/>
        <w:jc w:val="start"/>
        <w:rPr>
          <w:rFonts w:ascii="Times New Roman" w:hAnsi="Times New Roman" w:hint="eastAsia"/>
        </w:rPr>
      </w:pPr>
      <w:r>
        <w:rPr>
          <w:rFonts w:ascii="Times New Roman" w:hAnsi="Times New Roman" w:hint="eastAsia"/>
        </w:rPr>
        <w:t>信用主体对异议处理结果不服的，可以向本级发展改革部门申请复核。发展改革部门应当自受理复核申请之日起三个工作日内处理完毕。</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四十一</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公共</w:t>
      </w:r>
      <w:r>
        <w:rPr>
          <w:rFonts w:ascii="Times New Roman" w:hAnsi="Times New Roman" w:hint="eastAsia"/>
        </w:rPr>
        <w:t>信用信息异议处理及其复核期间，不影响异议信息的公开。</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异议、复核需要检验、检测、鉴定或者专家评审等的，所用时间不计入异议、复核申请的处理时间。</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公共信用服务机构应当建立异议处理档案。对无正当理由或者以同一理由重复提出异议的，可以不予受理</w:t>
      </w:r>
      <w:r>
        <w:rPr>
          <w:rFonts w:ascii="Times New Roman" w:hAnsi="Times New Roman"/>
        </w:rPr>
        <w:t>。</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四十二</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公共信用信息经过异议处理后，按照下列规定处理：</w:t>
      </w:r>
    </w:p>
    <w:p>
      <w:pPr>
        <w:pStyle w:val="Normal"/>
        <w:spacing w:lineRule="exact" w:line="594"/>
        <w:ind w:firstLineChars="200" w:startChars="0" w:start="0" w:endChars="0" w:end="0"/>
        <w:rPr/>
      </w:pPr>
      <w:r>
        <w:rPr>
          <w:rFonts w:ascii="Times New Roman" w:hAnsi="Times New Roman"/>
        </w:rPr>
        <w:t>（一）信息存在</w:t>
      </w:r>
      <w:r>
        <w:rPr>
          <w:rFonts w:ascii="Times New Roman" w:hAnsi="Times New Roman" w:hint="eastAsia"/>
        </w:rPr>
        <w:t>错误的，予以更正；</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（二）信息存在遗漏的，予以补充；</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（三）信息超过法定期限仍能查询的，终止提供查询服务。</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异议处理完毕后，公共信用服务机构应当立即取消异议标注。</w:t>
      </w:r>
    </w:p>
    <w:p>
      <w:pPr>
        <w:pStyle w:val="Normal"/>
        <w:spacing w:lineRule="exact" w:line="594"/>
        <w:ind w:firstLineChars="200" w:startChars="0" w:start="0" w:endChars="0" w:end="0"/>
        <w:rPr/>
      </w:pPr>
      <w:r>
        <w:rPr>
          <w:rFonts w:ascii="Times New Roman" w:hAnsi="Times New Roman" w:hint="eastAsia"/>
        </w:rPr>
        <w:t>公共信用服务机构和公共</w:t>
      </w:r>
      <w:r>
        <w:rPr>
          <w:rFonts w:ascii="Times New Roman" w:hAnsi="Times New Roman"/>
        </w:rPr>
        <w:t>信用信息提供单位在履职过程中发现公共信用信息存在前款规定情形的，应当及时主动处理</w:t>
      </w:r>
      <w:r>
        <w:rPr>
          <w:rFonts w:ascii="Times New Roman" w:hAnsi="Times New Roman" w:hint="eastAsia"/>
        </w:rPr>
        <w:t>。</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四十三</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公共</w:t>
      </w:r>
      <w:r>
        <w:rPr>
          <w:rFonts w:ascii="Times New Roman" w:hAnsi="Times New Roman" w:hint="eastAsia"/>
        </w:rPr>
        <w:t>信用服务机构提供自然人失信信息查询服务的期限为五年，法律、法规或者国务院决定和命令另有规定的除外。</w:t>
      </w:r>
    </w:p>
    <w:p>
      <w:pPr>
        <w:pStyle w:val="Normal"/>
        <w:spacing w:lineRule="exact" w:line="594"/>
        <w:ind w:firstLineChars="200" w:startChars="0" w:start="0" w:endChars="0" w:end="0"/>
        <w:rPr/>
      </w:pPr>
      <w:r>
        <w:rPr>
          <w:rFonts w:ascii="Times New Roman" w:hAnsi="Times New Roman" w:hint="eastAsia"/>
        </w:rPr>
        <w:t>前款规定的期限自失</w:t>
      </w:r>
      <w:r>
        <w:rPr>
          <w:rFonts w:ascii="Times New Roman" w:hAnsi="Times New Roman"/>
        </w:rPr>
        <w:t>信行为或者事件终止之日起计算</w:t>
      </w:r>
      <w:r>
        <w:rPr>
          <w:rFonts w:ascii="Times New Roman" w:hAnsi="Times New Roman" w:hint="eastAsia"/>
        </w:rPr>
        <w:t>。失信信息查询期限届满的，公共信用服务机构不得提供查询服务。</w:t>
      </w:r>
    </w:p>
    <w:p>
      <w:pPr>
        <w:pStyle w:val="Normal"/>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w:t>
      </w:r>
      <w:r>
        <w:rPr>
          <w:rFonts w:ascii="Times New Roman" w:hAnsi="Times New Roman" w:hint="eastAsia" w:eastAsia="方正黑体_GBK"/>
          <w:bCs/>
        </w:rPr>
        <w:t>四十四</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认定失信行为的文书被依法撤销或者变更的，原公共信用信息提供单位或者公共信用服务机构应当按照国家规定的方式、程序</w:t>
      </w:r>
      <w:r>
        <w:rPr>
          <w:rFonts w:ascii="Times New Roman" w:hAnsi="Times New Roman"/>
        </w:rPr>
        <w:t>和</w:t>
      </w:r>
      <w:r>
        <w:rPr>
          <w:rFonts w:ascii="Times New Roman" w:hAnsi="Times New Roman" w:hint="eastAsia"/>
        </w:rPr>
        <w:t>时限，及时</w:t>
      </w:r>
      <w:r>
        <w:rPr>
          <w:rFonts w:ascii="Times New Roman" w:hAnsi="Times New Roman"/>
        </w:rPr>
        <w:t>进行处理。</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四十五</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信用主体依法纠正失信行为、消除不利影响的，可以向公共信用信息提供单位或者公共信用服务机构提出信用修复的申请，并提供相关资料。</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公共信用信息提供单位或者公共信用服务机构应当按照国家规定的方式、程序和时限，及时进行处理。</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严重失信主体的信用修复后，应当移除其关联责任人的失信记录、终止共用相关失信信息。</w:t>
      </w:r>
    </w:p>
    <w:p>
      <w:pPr>
        <w:pStyle w:val="Normal"/>
        <w:spacing w:lineRule="exact" w:line="594"/>
        <w:ind w:firstLineChars="200" w:startChars="0" w:start="0" w:endChars="0" w:end="0"/>
        <w:rPr>
          <w:rFonts w:ascii="Times New Roman" w:hAnsi="Times New Roman" w:hint="eastAsia"/>
        </w:rPr>
      </w:pPr>
      <w:r>
        <w:rPr>
          <w:rFonts w:ascii="Times New Roman" w:hAnsi="Times New Roman" w:hint="eastAsia"/>
        </w:rPr>
        <w:t>公共信用信息提供单位与公共信用服务机构应当明确专门人员负责信用修复工作，不得以任何形式向申请信用修复的信用主体收取费用。</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四十六</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信用主体认为公共信用信息归集、开放和应用等相关活动中的行政行为侵犯其合法权益的，可以向公共信用信息</w:t>
      </w:r>
      <w:r>
        <w:rPr>
          <w:rFonts w:ascii="Times New Roman" w:hAnsi="Times New Roman"/>
        </w:rPr>
        <w:t>提供单位提出投诉，也可以依法申请行政复议或者提起行政诉讼。投诉处理、行政复议或者行政诉讼期间，不影响信用惩戒措施的实施。</w:t>
      </w:r>
    </w:p>
    <w:p>
      <w:pPr>
        <w:pStyle w:val="Normal"/>
        <w:spacing w:lineRule="exact" w:line="594"/>
        <w:ind w:firstLineChars="200" w:startChars="0" w:start="0" w:endChars="0" w:end="0"/>
        <w:rPr>
          <w:rFonts w:ascii="Times New Roman" w:hAnsi="Times New Roman"/>
        </w:rPr>
      </w:pPr>
      <w:r>
        <w:rPr>
          <w:rFonts w:ascii="Times New Roman" w:hAnsi="Times New Roman"/>
        </w:rPr>
        <w:t>市场信用信息的异议、投诉和其他救济，按照有关法律、行政法规规定办理。</w:t>
      </w:r>
    </w:p>
    <w:p>
      <w:pPr>
        <w:pStyle w:val="Normal"/>
        <w:snapToGrid w:val="false"/>
        <w:spacing w:lineRule="exact" w:line="594"/>
        <w:jc w:val="center"/>
        <w:rPr>
          <w:rFonts w:ascii="Times New Roman" w:hAnsi="Times New Roman" w:eastAsia="方正黑体_GBK"/>
        </w:rPr>
      </w:pPr>
      <w:r>
        <w:rPr>
          <w:rFonts w:eastAsia="方正黑体_GBK" w:ascii="Times New Roman" w:hAnsi="Times New Roman"/>
        </w:rPr>
      </w:r>
    </w:p>
    <w:p>
      <w:pPr>
        <w:pStyle w:val="Normal"/>
        <w:snapToGrid w:val="false"/>
        <w:spacing w:lineRule="exact" w:line="594"/>
        <w:jc w:val="center"/>
        <w:rPr/>
      </w:pPr>
      <w:r>
        <w:rPr>
          <w:rFonts w:ascii="Times New Roman" w:hAnsi="Times New Roman" w:eastAsia="方正黑体_GBK"/>
        </w:rPr>
        <w:t>第</w:t>
      </w:r>
      <w:r>
        <w:rPr>
          <w:rFonts w:ascii="Times New Roman" w:hAnsi="Times New Roman" w:hint="eastAsia" w:eastAsia="方正黑体_GBK"/>
        </w:rPr>
        <w:t>六</w:t>
      </w:r>
      <w:r>
        <w:rPr>
          <w:rFonts w:ascii="Times New Roman" w:hAnsi="Times New Roman" w:eastAsia="方正黑体_GBK"/>
        </w:rPr>
        <w:t>章  信用</w:t>
      </w:r>
      <w:r>
        <w:rPr>
          <w:rFonts w:ascii="Times New Roman" w:hAnsi="Times New Roman" w:hint="eastAsia" w:eastAsia="方正黑体_GBK"/>
        </w:rPr>
        <w:t>服务</w:t>
      </w:r>
      <w:r>
        <w:rPr>
          <w:rFonts w:ascii="Times New Roman" w:hAnsi="Times New Roman" w:eastAsia="方正黑体_GBK"/>
        </w:rPr>
        <w:t>规范</w:t>
      </w:r>
    </w:p>
    <w:p>
      <w:pPr>
        <w:pStyle w:val="Normal"/>
        <w:snapToGrid w:val="false"/>
        <w:spacing w:lineRule="exact" w:line="594"/>
        <w:ind w:firstLineChars="200" w:startChars="0" w:start="0" w:endChars="0" w:end="0"/>
        <w:rPr>
          <w:rFonts w:ascii="Times New Roman" w:hAnsi="Times New Roman" w:eastAsia="方正黑体_GBK"/>
          <w:bCs/>
        </w:rPr>
      </w:pPr>
      <w:r>
        <w:rPr>
          <w:rFonts w:eastAsia="方正黑体_GBK" w:ascii="Times New Roman" w:hAnsi="Times New Roman"/>
          <w:bCs/>
        </w:rPr>
      </w:r>
    </w:p>
    <w:p>
      <w:pPr>
        <w:pStyle w:val="Normal"/>
        <w:snapToGrid w:val="false"/>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w:t>
      </w:r>
      <w:r>
        <w:rPr>
          <w:rFonts w:ascii="Times New Roman" w:hAnsi="Times New Roman" w:hint="eastAsia" w:eastAsia="方正黑体_GBK"/>
          <w:bCs/>
        </w:rPr>
        <w:t>四十七</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hint="eastAsia"/>
        </w:rPr>
        <w:t>市、区县（自治县）人民政府应当根据信用服务业务的不同特点，依法实施分类监管，完善信用服务业务规范，促进信用服务业健康发展</w:t>
      </w:r>
      <w:r>
        <w:rPr>
          <w:rFonts w:ascii="Times New Roman" w:hAnsi="Times New Roman"/>
        </w:rPr>
        <w:t>。</w:t>
      </w:r>
    </w:p>
    <w:p>
      <w:pPr>
        <w:pStyle w:val="Normal"/>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w:t>
      </w:r>
      <w:r>
        <w:rPr>
          <w:rFonts w:ascii="Times New Roman" w:hAnsi="Times New Roman" w:hint="eastAsia" w:eastAsia="方正黑体_GBK"/>
          <w:bCs/>
        </w:rPr>
        <w:t>四十八</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信用服务机构应用社会信用信息、提供信用产品，应当遵循客观、公正和审慎的原则，依法接受监管。</w:t>
      </w:r>
    </w:p>
    <w:p>
      <w:pPr>
        <w:pStyle w:val="Normal"/>
        <w:spacing w:lineRule="exact" w:line="594"/>
        <w:ind w:firstLineChars="200" w:startChars="0" w:start="0" w:endChars="0" w:end="0"/>
        <w:rPr>
          <w:rFonts w:ascii="Times New Roman" w:hAnsi="Times New Roman"/>
        </w:rPr>
      </w:pPr>
      <w:r>
        <w:rPr>
          <w:rFonts w:ascii="Times New Roman" w:hAnsi="Times New Roman" w:eastAsia="方正黑体_GBK"/>
          <w:bCs/>
        </w:rPr>
        <w:t>第</w:t>
      </w:r>
      <w:r>
        <w:rPr>
          <w:rFonts w:ascii="Times New Roman" w:hAnsi="Times New Roman" w:hint="eastAsia" w:eastAsia="方正黑体_GBK"/>
          <w:bCs/>
        </w:rPr>
        <w:t>四十九</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市场信用服务机构从事征信、评级业务</w:t>
      </w:r>
      <w:r>
        <w:rPr>
          <w:rFonts w:ascii="Times New Roman" w:hAnsi="Times New Roman" w:hint="eastAsia"/>
        </w:rPr>
        <w:t>，</w:t>
      </w:r>
      <w:r>
        <w:rPr>
          <w:rFonts w:ascii="Times New Roman" w:hAnsi="Times New Roman"/>
        </w:rPr>
        <w:t>应当</w:t>
      </w:r>
      <w:r>
        <w:rPr>
          <w:rFonts w:ascii="Times New Roman" w:hAnsi="Times New Roman" w:hint="eastAsia"/>
        </w:rPr>
        <w:t>依据国家规定取得相关许可或者进行备案，并</w:t>
      </w:r>
      <w:r>
        <w:rPr>
          <w:rFonts w:ascii="Times New Roman" w:hAnsi="Times New Roman"/>
        </w:rPr>
        <w:t>接受征信业监督管理</w:t>
      </w:r>
      <w:r>
        <w:rPr>
          <w:rFonts w:ascii="Times New Roman" w:hAnsi="Times New Roman" w:hint="eastAsia"/>
        </w:rPr>
        <w:t>机构</w:t>
      </w:r>
      <w:r>
        <w:rPr>
          <w:rFonts w:ascii="Times New Roman" w:hAnsi="Times New Roman"/>
        </w:rPr>
        <w:t>的监督管理</w:t>
      </w:r>
      <w:r>
        <w:rPr>
          <w:rFonts w:ascii="Times New Roman" w:hAnsi="Times New Roman" w:hint="eastAsia"/>
        </w:rPr>
        <w:t>。</w:t>
      </w:r>
    </w:p>
    <w:p>
      <w:pPr>
        <w:pStyle w:val="Normal"/>
        <w:spacing w:lineRule="exact" w:line="594"/>
        <w:ind w:firstLineChars="200" w:startChars="0" w:start="0" w:endChars="0" w:end="0"/>
        <w:rPr>
          <w:rFonts w:ascii="Times New Roman" w:hAnsi="Times New Roman"/>
        </w:rPr>
      </w:pPr>
      <w:r>
        <w:rPr>
          <w:rFonts w:ascii="Times New Roman" w:hAnsi="Times New Roman"/>
        </w:rPr>
        <w:t>市场信用服务机构从事信用咨询、信用风险控制</w:t>
      </w:r>
      <w:r>
        <w:rPr>
          <w:rFonts w:ascii="Times New Roman" w:hAnsi="Times New Roman" w:hint="eastAsia"/>
        </w:rPr>
        <w:t>等征信、评级业务以外的其他经营活动，应当遵守国家有关规定，并向市发展改革部门备案。</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五</w:t>
      </w:r>
      <w:r>
        <w:rPr>
          <w:rFonts w:ascii="Times New Roman" w:hAnsi="Times New Roman" w:eastAsia="方正黑体_GBK"/>
          <w:bCs/>
        </w:rPr>
        <w:t>十条</w:t>
      </w:r>
      <w:r>
        <w:rPr>
          <w:rFonts w:ascii="Times New Roman" w:hAnsi="Times New Roman" w:hint="eastAsia" w:eastAsia="方正黑体_GBK"/>
          <w:bCs/>
        </w:rPr>
        <w:t xml:space="preserve">  </w:t>
      </w:r>
      <w:r>
        <w:rPr>
          <w:rFonts w:ascii="Times New Roman" w:hAnsi="Times New Roman" w:hint="eastAsia"/>
        </w:rPr>
        <w:t>市、区县（自治县）有关部门在行政管理和公共服务中使用信用报告等信用产品的，相关费用不得由市场主体承担</w:t>
      </w:r>
      <w:r>
        <w:rPr>
          <w:rFonts w:ascii="Times New Roman" w:hAnsi="Times New Roman"/>
        </w:rPr>
        <w:t>。</w:t>
      </w:r>
    </w:p>
    <w:p>
      <w:pPr>
        <w:pStyle w:val="Normal"/>
        <w:spacing w:lineRule="exact" w:line="594"/>
        <w:ind w:firstLineChars="200" w:startChars="0" w:start="0" w:endChars="0" w:end="0"/>
        <w:rPr/>
      </w:pPr>
      <w:r>
        <w:rPr>
          <w:rFonts w:ascii="Times New Roman" w:hAnsi="Times New Roman"/>
        </w:rPr>
        <w:t>鼓励信用服务机构利用大数据</w:t>
      </w:r>
      <w:r>
        <w:rPr>
          <w:rFonts w:ascii="Times New Roman" w:hAnsi="Times New Roman" w:hint="eastAsia"/>
        </w:rPr>
        <w:t>、</w:t>
      </w:r>
      <w:r>
        <w:rPr>
          <w:rFonts w:ascii="Times New Roman" w:hAnsi="Times New Roman"/>
        </w:rPr>
        <w:t>云计算、区块链、人工智能等技术开发具有自主知识产权的信用产品，满足社会需求。</w:t>
      </w:r>
    </w:p>
    <w:p>
      <w:pPr>
        <w:pStyle w:val="Normal"/>
        <w:spacing w:lineRule="exact" w:line="594"/>
        <w:ind w:firstLineChars="200" w:startChars="0" w:start="0" w:endChars="0" w:end="0"/>
        <w:rPr>
          <w:rFonts w:ascii="Times New Roman" w:hAnsi="Times New Roman"/>
        </w:rPr>
      </w:pPr>
      <w:r>
        <w:rPr>
          <w:rFonts w:ascii="Times New Roman" w:hAnsi="Times New Roman"/>
        </w:rPr>
        <w:t>鼓励创新示范园区、产业园区引入信用服务机构，为园区管理、入驻企业提供信用产品和服务。</w:t>
      </w:r>
    </w:p>
    <w:p>
      <w:pPr>
        <w:pStyle w:val="Normal"/>
        <w:snapToGrid w:val="false"/>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w:t>
      </w:r>
      <w:r>
        <w:rPr>
          <w:rFonts w:ascii="Times New Roman" w:hAnsi="Times New Roman" w:hint="eastAsia" w:eastAsia="方正黑体_GBK"/>
          <w:bCs/>
        </w:rPr>
        <w:t>五十一</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鼓励成</w:t>
      </w:r>
      <w:r>
        <w:rPr>
          <w:rFonts w:ascii="Times New Roman" w:hAnsi="Times New Roman" w:hint="eastAsia"/>
        </w:rPr>
        <w:t>立</w:t>
      </w:r>
      <w:r>
        <w:rPr>
          <w:rFonts w:ascii="Times New Roman" w:hAnsi="Times New Roman"/>
        </w:rPr>
        <w:t>社会信用行业组织</w:t>
      </w:r>
      <w:r>
        <w:rPr>
          <w:rFonts w:ascii="Times New Roman" w:hAnsi="Times New Roman" w:hint="eastAsia"/>
        </w:rPr>
        <w:t>。</w:t>
      </w:r>
      <w:r>
        <w:rPr>
          <w:rFonts w:ascii="Times New Roman" w:hAnsi="Times New Roman"/>
        </w:rPr>
        <w:t>社会信用行业组织通过制定社会信用服务机构和从业人员基本行为准则和业务规范，开展宣传培</w:t>
      </w:r>
      <w:r>
        <w:rPr>
          <w:rFonts w:ascii="Times New Roman" w:hAnsi="Times New Roman" w:hint="eastAsia"/>
        </w:rPr>
        <w:t>训等方式，加强自律管理，提升社会信用服务业的服务能力和公信力。</w:t>
      </w:r>
    </w:p>
    <w:p>
      <w:pPr>
        <w:pStyle w:val="Normal"/>
        <w:spacing w:lineRule="exact" w:line="594"/>
        <w:jc w:val="center"/>
        <w:rPr>
          <w:rFonts w:ascii="Times New Roman" w:hAnsi="Times New Roman" w:eastAsia="方正黑体_GBK"/>
          <w:bCs/>
        </w:rPr>
      </w:pPr>
      <w:r>
        <w:rPr>
          <w:rFonts w:eastAsia="方正黑体_GBK" w:ascii="Times New Roman" w:hAnsi="Times New Roman"/>
          <w:bCs/>
        </w:rPr>
      </w:r>
    </w:p>
    <w:p>
      <w:pPr>
        <w:pStyle w:val="Normal"/>
        <w:spacing w:lineRule="exact" w:line="594"/>
        <w:jc w:val="center"/>
        <w:rPr>
          <w:rFonts w:ascii="Times New Roman" w:hAnsi="Times New Roman" w:eastAsia="方正黑体_GBK"/>
        </w:rPr>
      </w:pPr>
      <w:r>
        <w:rPr>
          <w:rFonts w:ascii="Times New Roman" w:hAnsi="Times New Roman" w:eastAsia="方正黑体_GBK"/>
        </w:rPr>
        <w:t>第七章  法律责任</w:t>
      </w:r>
    </w:p>
    <w:p>
      <w:pPr>
        <w:pStyle w:val="Normal"/>
        <w:spacing w:lineRule="exact" w:line="594"/>
        <w:ind w:firstLineChars="200" w:startChars="0" w:start="0" w:endChars="0" w:end="0"/>
        <w:rPr>
          <w:rFonts w:ascii="Times New Roman" w:hAnsi="Times New Roman" w:eastAsia="方正黑体_GBK"/>
          <w:bCs/>
        </w:rPr>
      </w:pPr>
      <w:r>
        <w:rPr>
          <w:rFonts w:eastAsia="方正黑体_GBK" w:ascii="Times New Roman" w:hAnsi="Times New Roman"/>
          <w:bCs/>
        </w:rPr>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五十二</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违反本条例规定的行为，法律、行政法规已有处罚规定的，从其规定。</w:t>
      </w:r>
    </w:p>
    <w:p>
      <w:pPr>
        <w:pStyle w:val="Normal"/>
        <w:spacing w:lineRule="exact" w:line="594"/>
        <w:ind w:firstLineChars="200" w:startChars="0" w:start="0" w:endChars="0" w:end="0"/>
        <w:rPr>
          <w:rFonts w:ascii="方正黑体_GBK" w:hAnsi="方正黑体_GBK" w:eastAsia="方正黑体_GBK" w:cs="方正黑体_GBK" w:hint="eastAsia"/>
        </w:rPr>
      </w:pPr>
      <w:r>
        <w:rPr>
          <w:rFonts w:ascii="Times New Roman" w:hAnsi="Times New Roman"/>
        </w:rPr>
        <w:t>信用信息归集、</w:t>
      </w:r>
      <w:r>
        <w:rPr>
          <w:rFonts w:ascii="Times New Roman" w:hAnsi="Times New Roman" w:hint="eastAsia"/>
        </w:rPr>
        <w:t>采</w:t>
      </w:r>
      <w:r>
        <w:rPr>
          <w:rFonts w:ascii="Times New Roman" w:hAnsi="Times New Roman"/>
        </w:rPr>
        <w:t>集和应用违反国家法律、行政法规中有关网络安全、数据安全、个人信息保护和未成年人保护规定的，依照相关法律、行政法规的规定处理；侵犯他人隐私权等民事权利的，依法承担民事责任；构成犯罪的，依法追究刑事责任。</w:t>
      </w:r>
    </w:p>
    <w:p>
      <w:pPr>
        <w:pStyle w:val="Normal"/>
        <w:spacing w:lineRule="exact" w:line="594"/>
        <w:ind w:firstLineChars="200" w:startChars="0" w:start="0" w:endChars="0" w:end="0"/>
        <w:rPr/>
      </w:pPr>
      <w:r>
        <w:rPr>
          <w:rFonts w:ascii="Times New Roman" w:hAnsi="Times New Roman" w:eastAsia="方正黑体_GBK"/>
          <w:bCs/>
        </w:rPr>
        <w:t>第五十</w:t>
      </w:r>
      <w:r>
        <w:rPr>
          <w:rFonts w:ascii="Times New Roman" w:hAnsi="Times New Roman" w:hint="eastAsia" w:eastAsia="方正黑体_GBK"/>
          <w:bCs/>
        </w:rPr>
        <w:t>三</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各级国家机关及其有关部门、公共信用信息提供单位及其工作人员在公共信用信息管理和应用过程中违反本条例规定的，由其上级主管部门或者发展改革部门按照规定职责责令限期改正</w:t>
      </w:r>
      <w:r>
        <w:rPr>
          <w:rFonts w:ascii="Times New Roman" w:hAnsi="Times New Roman" w:hint="eastAsia"/>
        </w:rPr>
        <w:t>；</w:t>
      </w:r>
      <w:r>
        <w:rPr>
          <w:rFonts w:ascii="Times New Roman" w:hAnsi="Times New Roman"/>
        </w:rPr>
        <w:t>逾期未改正或者情节严重的给予通报批评。</w:t>
      </w:r>
    </w:p>
    <w:p>
      <w:pPr>
        <w:pStyle w:val="Normal"/>
        <w:spacing w:lineRule="exact" w:line="594"/>
        <w:ind w:firstLineChars="200" w:startChars="0" w:start="0" w:endChars="0" w:end="0"/>
        <w:rPr>
          <w:rFonts w:ascii="Times New Roman" w:hAnsi="Times New Roman"/>
        </w:rPr>
      </w:pPr>
      <w:r>
        <w:rPr>
          <w:rFonts w:ascii="Times New Roman" w:hAnsi="Times New Roman"/>
        </w:rPr>
        <w:t>前款规定部门和单位的工作人员在公共信用信息管理和应用过程中滥用职权、玩忽职守、徇私舞弊的，由有权机关根据情节轻重依法给予处分；构成犯罪的，依法追究刑事责任。</w:t>
      </w:r>
    </w:p>
    <w:p>
      <w:pPr>
        <w:pStyle w:val="Normal"/>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第五十</w:t>
      </w:r>
      <w:r>
        <w:rPr>
          <w:rFonts w:ascii="Times New Roman" w:hAnsi="Times New Roman" w:hint="eastAsia" w:eastAsia="方正黑体_GBK"/>
          <w:bCs/>
        </w:rPr>
        <w:t>四</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公共信用服务机构及其工作人员在公共信用信息平台的运行和维护，开展公共信用信息的归集、</w:t>
      </w:r>
      <w:r>
        <w:rPr>
          <w:rFonts w:ascii="Times New Roman" w:hAnsi="Times New Roman" w:hint="eastAsia"/>
        </w:rPr>
        <w:t>查询、</w:t>
      </w:r>
      <w:r>
        <w:rPr>
          <w:rFonts w:ascii="Times New Roman" w:hAnsi="Times New Roman"/>
        </w:rPr>
        <w:t>开放和应用</w:t>
      </w:r>
      <w:r>
        <w:rPr>
          <w:rFonts w:ascii="Times New Roman" w:hAnsi="Times New Roman" w:hint="eastAsia"/>
        </w:rPr>
        <w:t>等</w:t>
      </w:r>
      <w:r>
        <w:rPr>
          <w:rFonts w:ascii="Times New Roman" w:hAnsi="Times New Roman"/>
        </w:rPr>
        <w:t>过程中违反本条例规定的，由发展改革部门责令限期改正</w:t>
      </w:r>
      <w:r>
        <w:rPr>
          <w:rFonts w:ascii="Times New Roman" w:hAnsi="Times New Roman" w:hint="eastAsia"/>
        </w:rPr>
        <w:t>；</w:t>
      </w:r>
      <w:r>
        <w:rPr>
          <w:rFonts w:ascii="Times New Roman" w:hAnsi="Times New Roman"/>
        </w:rPr>
        <w:t>逾期未改正或者情节严重的，由有权机关对直接负责的主管人员和其他直接责任人员依法给予处分。</w:t>
      </w:r>
    </w:p>
    <w:p>
      <w:pPr>
        <w:pStyle w:val="Normal"/>
        <w:spacing w:lineRule="exact" w:line="594"/>
        <w:ind w:firstLineChars="200" w:startChars="0" w:start="0" w:endChars="0" w:end="0"/>
        <w:rPr/>
      </w:pPr>
      <w:r>
        <w:rPr>
          <w:rFonts w:ascii="Times New Roman" w:hAnsi="Times New Roman" w:eastAsia="方正黑体_GBK"/>
          <w:bCs/>
        </w:rPr>
        <w:t>第</w:t>
      </w:r>
      <w:r>
        <w:rPr>
          <w:rFonts w:ascii="Times New Roman" w:hAnsi="Times New Roman" w:hint="eastAsia" w:eastAsia="方正黑体_GBK"/>
          <w:bCs/>
        </w:rPr>
        <w:t>五十五</w:t>
      </w:r>
      <w:r>
        <w:rPr>
          <w:rFonts w:ascii="Times New Roman" w:hAnsi="Times New Roman" w:eastAsia="方正黑体_GBK"/>
          <w:bCs/>
        </w:rPr>
        <w:t xml:space="preserve">条  </w:t>
      </w:r>
      <w:r>
        <w:rPr>
          <w:rFonts w:ascii="Times New Roman" w:hAnsi="Times New Roman"/>
        </w:rPr>
        <w:t>市场信用服务机构违反征信业、评级业管理规定的，由征信业监督管理机构依法处理</w:t>
      </w:r>
      <w:r>
        <w:rPr>
          <w:rFonts w:ascii="Times New Roman" w:hAnsi="Times New Roman" w:hint="eastAsia"/>
        </w:rPr>
        <w:t>。</w:t>
      </w:r>
    </w:p>
    <w:p>
      <w:pPr>
        <w:pStyle w:val="Normal"/>
        <w:spacing w:lineRule="exact" w:line="594"/>
        <w:ind w:firstLineChars="200" w:startChars="0" w:start="0" w:endChars="0" w:end="0"/>
        <w:rPr>
          <w:rFonts w:ascii="Times New Roman" w:hAnsi="Times New Roman"/>
        </w:rPr>
      </w:pPr>
      <w:r>
        <w:rPr>
          <w:rFonts w:ascii="Times New Roman" w:hAnsi="Times New Roman"/>
        </w:rPr>
        <w:t>市场信用服务机构违反本条例第四十九条第二款规定的，由发展改革部门责令限期改正；逾期未改正或者情节严重的，处五万元以上十万元以下的罚款；有违法所得的，没收违法所得。</w:t>
      </w:r>
    </w:p>
    <w:p>
      <w:pPr>
        <w:pStyle w:val="Normal"/>
        <w:snapToGrid w:val="false"/>
        <w:spacing w:lineRule="exact" w:line="594"/>
        <w:jc w:val="center"/>
        <w:rPr>
          <w:rFonts w:ascii="Times New Roman" w:hAnsi="Times New Roman" w:eastAsia="方正黑体_GBK"/>
        </w:rPr>
      </w:pPr>
      <w:r>
        <w:rPr>
          <w:rFonts w:eastAsia="方正黑体_GBK" w:ascii="Times New Roman" w:hAnsi="Times New Roman"/>
        </w:rPr>
      </w:r>
    </w:p>
    <w:p>
      <w:pPr>
        <w:pStyle w:val="Normal"/>
        <w:snapToGrid w:val="false"/>
        <w:spacing w:lineRule="exact" w:line="594"/>
        <w:jc w:val="center"/>
        <w:rPr>
          <w:rFonts w:ascii="Times New Roman" w:hAnsi="Times New Roman" w:eastAsia="方正黑体_GBK"/>
        </w:rPr>
      </w:pPr>
      <w:r>
        <w:rPr>
          <w:rFonts w:ascii="Times New Roman" w:hAnsi="Times New Roman" w:eastAsia="方正黑体_GBK"/>
        </w:rPr>
        <w:t>第八章  附  则</w:t>
      </w:r>
    </w:p>
    <w:p>
      <w:pPr>
        <w:pStyle w:val="Normal"/>
        <w:spacing w:lineRule="exact" w:line="594"/>
        <w:ind w:firstLineChars="200" w:startChars="0" w:start="0" w:endChars="0" w:end="0"/>
        <w:rPr>
          <w:rFonts w:ascii="Times New Roman" w:hAnsi="Times New Roman" w:eastAsia="方正黑体_GBK"/>
        </w:rPr>
      </w:pPr>
      <w:r>
        <w:rPr>
          <w:rFonts w:eastAsia="方正黑体_GBK" w:ascii="Times New Roman" w:hAnsi="Times New Roman"/>
        </w:rPr>
      </w:r>
    </w:p>
    <w:p>
      <w:pPr>
        <w:pStyle w:val="Normal"/>
        <w:spacing w:lineRule="exact" w:line="594"/>
        <w:ind w:firstLineChars="200" w:startChars="0" w:start="0" w:endChars="0" w:end="0"/>
        <w:rPr/>
      </w:pPr>
      <w:r>
        <w:rPr>
          <w:rFonts w:ascii="Times New Roman" w:hAnsi="Times New Roman" w:eastAsia="方正黑体_GBK"/>
        </w:rPr>
        <w:t>第</w:t>
      </w:r>
      <w:r>
        <w:rPr>
          <w:rFonts w:ascii="Times New Roman" w:hAnsi="Times New Roman" w:hint="eastAsia" w:eastAsia="方正黑体_GBK"/>
        </w:rPr>
        <w:t>五十六</w:t>
      </w:r>
      <w:r>
        <w:rPr>
          <w:rFonts w:ascii="Times New Roman" w:hAnsi="Times New Roman" w:eastAsia="方正黑体_GBK"/>
        </w:rPr>
        <w:t>条</w:t>
      </w:r>
      <w:r>
        <w:rPr>
          <w:rFonts w:ascii="Times New Roman" w:hAnsi="Times New Roman" w:hint="eastAsia" w:eastAsia="方正黑体_GBK"/>
        </w:rPr>
        <w:t xml:space="preserve">  </w:t>
      </w:r>
      <w:r>
        <w:rPr>
          <w:rFonts w:ascii="Times New Roman" w:hAnsi="Times New Roman"/>
        </w:rPr>
        <w:t>本条例所称社会信用，是指自然人、法人和非法人组织</w:t>
      </w:r>
      <w:r>
        <w:rPr>
          <w:rFonts w:ascii="Times New Roman" w:hAnsi="Times New Roman" w:hint="eastAsia"/>
        </w:rPr>
        <w:t>等</w:t>
      </w:r>
      <w:r>
        <w:rPr>
          <w:rFonts w:ascii="Times New Roman" w:hAnsi="Times New Roman"/>
        </w:rPr>
        <w:t>信</w:t>
      </w:r>
      <w:r>
        <w:rPr>
          <w:rFonts w:ascii="Times New Roman" w:hAnsi="Times New Roman" w:hint="eastAsia"/>
        </w:rPr>
        <w:t>用</w:t>
      </w:r>
      <w:r>
        <w:rPr>
          <w:rFonts w:ascii="Times New Roman" w:hAnsi="Times New Roman"/>
        </w:rPr>
        <w:t>主体，在社会和经济活动中遵守法定义务、履行约定义务、</w:t>
      </w:r>
      <w:r>
        <w:rPr>
          <w:rFonts w:ascii="Times New Roman" w:hAnsi="Times New Roman" w:hint="eastAsia"/>
        </w:rPr>
        <w:t>践行承诺</w:t>
      </w:r>
      <w:r>
        <w:rPr>
          <w:rFonts w:ascii="Times New Roman" w:hAnsi="Times New Roman"/>
        </w:rPr>
        <w:t>的状态。</w:t>
      </w:r>
    </w:p>
    <w:p>
      <w:pPr>
        <w:pStyle w:val="Normal"/>
        <w:spacing w:lineRule="exact" w:line="594"/>
        <w:ind w:firstLineChars="200" w:startChars="0" w:start="0" w:endChars="0" w:end="0"/>
        <w:rPr/>
      </w:pPr>
      <w:r>
        <w:rPr>
          <w:rFonts w:ascii="Times New Roman" w:hAnsi="Times New Roman"/>
        </w:rPr>
        <w:t>社会信用信息</w:t>
      </w:r>
      <w:r>
        <w:rPr>
          <w:rFonts w:ascii="Times New Roman" w:hAnsi="Times New Roman" w:hint="eastAsia"/>
        </w:rPr>
        <w:t>，</w:t>
      </w:r>
      <w:r>
        <w:rPr>
          <w:rFonts w:ascii="Times New Roman" w:hAnsi="Times New Roman"/>
        </w:rPr>
        <w:t>是指可用于识别、判断</w:t>
      </w:r>
      <w:r>
        <w:rPr>
          <w:rFonts w:ascii="Times New Roman" w:hAnsi="Times New Roman" w:hint="eastAsia"/>
        </w:rPr>
        <w:t>信用主体身份以及守法履约</w:t>
      </w:r>
      <w:r>
        <w:rPr>
          <w:rFonts w:ascii="Times New Roman" w:hAnsi="Times New Roman"/>
        </w:rPr>
        <w:t>践诺</w:t>
      </w:r>
      <w:r>
        <w:rPr>
          <w:rFonts w:ascii="Times New Roman" w:hAnsi="Times New Roman" w:hint="eastAsia"/>
        </w:rPr>
        <w:t>状况的客观数据和资料，包括公共信用信息和市场信用信息。</w:t>
      </w:r>
    </w:p>
    <w:p>
      <w:pPr>
        <w:pStyle w:val="Normal"/>
        <w:spacing w:lineRule="exact" w:line="594"/>
        <w:ind w:firstLineChars="200" w:startChars="0" w:start="0" w:endChars="0" w:end="0"/>
        <w:rPr/>
      </w:pPr>
      <w:r>
        <w:rPr>
          <w:rFonts w:ascii="Times New Roman" w:hAnsi="Times New Roman" w:hint="eastAsia"/>
        </w:rPr>
        <w:t>公共信用信息，是指国家机关以及法律、法规授权的具有管理公共事务职能的组织等（统称公共信用信息提供单位），在依法履行职责或者提供服务过程中产</w:t>
      </w:r>
      <w:r>
        <w:rPr>
          <w:rFonts w:ascii="Times New Roman" w:hAnsi="Times New Roman"/>
        </w:rPr>
        <w:t>生</w:t>
      </w:r>
      <w:r>
        <w:rPr>
          <w:rFonts w:ascii="Times New Roman" w:hAnsi="Times New Roman" w:hint="eastAsia"/>
        </w:rPr>
        <w:t>、</w:t>
      </w:r>
      <w:r>
        <w:rPr>
          <w:rFonts w:ascii="Times New Roman" w:hAnsi="Times New Roman"/>
        </w:rPr>
        <w:t>获取的社会信用信息。</w:t>
      </w:r>
    </w:p>
    <w:p>
      <w:pPr>
        <w:pStyle w:val="Normal"/>
        <w:spacing w:lineRule="exact" w:line="594"/>
        <w:ind w:firstLineChars="200" w:startChars="0" w:start="0" w:endChars="0" w:end="0"/>
        <w:rPr/>
      </w:pPr>
      <w:r>
        <w:rPr>
          <w:rFonts w:ascii="Times New Roman" w:hAnsi="Times New Roman"/>
        </w:rPr>
        <w:t>市场信用信息</w:t>
      </w:r>
      <w:r>
        <w:rPr>
          <w:rFonts w:ascii="Times New Roman" w:hAnsi="Times New Roman" w:hint="eastAsia"/>
        </w:rPr>
        <w:t>，</w:t>
      </w:r>
      <w:r>
        <w:rPr>
          <w:rFonts w:ascii="Times New Roman" w:hAnsi="Times New Roman"/>
        </w:rPr>
        <w:t>是指市场信用服务机构、其他企业事业单位和组织（统称市</w:t>
      </w:r>
      <w:r>
        <w:rPr>
          <w:rFonts w:ascii="Times New Roman" w:hAnsi="Times New Roman" w:hint="eastAsia"/>
        </w:rPr>
        <w:t>场信用信息提供单位），在生产经营活动或者提供服务过程中产生、采集</w:t>
      </w:r>
      <w:r>
        <w:rPr>
          <w:rFonts w:ascii="Times New Roman" w:hAnsi="Times New Roman"/>
        </w:rPr>
        <w:t>的社会信用信息。</w:t>
      </w:r>
    </w:p>
    <w:p>
      <w:pPr>
        <w:pStyle w:val="Normal"/>
        <w:spacing w:lineRule="exact" w:line="594"/>
        <w:ind w:firstLineChars="200" w:startChars="0" w:start="0" w:endChars="0" w:end="0"/>
        <w:rPr>
          <w:rFonts w:ascii="Times New Roman" w:hAnsi="Times New Roman" w:eastAsia="方正黑体_GBK"/>
          <w:bCs/>
        </w:rPr>
      </w:pPr>
      <w:r>
        <w:rPr>
          <w:rFonts w:ascii="Times New Roman" w:hAnsi="Times New Roman" w:eastAsia="方正黑体_GBK"/>
          <w:bCs/>
        </w:rPr>
        <w:t>第</w:t>
      </w:r>
      <w:r>
        <w:rPr>
          <w:rFonts w:ascii="Times New Roman" w:hAnsi="Times New Roman" w:hint="eastAsia" w:eastAsia="方正黑体_GBK"/>
          <w:bCs/>
        </w:rPr>
        <w:t>五十七</w:t>
      </w:r>
      <w:r>
        <w:rPr>
          <w:rFonts w:ascii="Times New Roman" w:hAnsi="Times New Roman" w:eastAsia="方正黑体_GBK"/>
          <w:bCs/>
        </w:rPr>
        <w:t>条</w:t>
      </w:r>
      <w:r>
        <w:rPr>
          <w:rFonts w:ascii="Times New Roman" w:hAnsi="Times New Roman" w:hint="eastAsia" w:eastAsia="方正黑体_GBK"/>
          <w:bCs/>
        </w:rPr>
        <w:t xml:space="preserve">  </w:t>
      </w:r>
      <w:r>
        <w:rPr>
          <w:rFonts w:ascii="Times New Roman" w:hAnsi="Times New Roman"/>
        </w:rPr>
        <w:t>本条例自</w:t>
      </w:r>
      <w:r>
        <w:rPr>
          <w:rFonts w:hint="eastAsia" w:ascii="Times New Roman" w:hAnsi="Times New Roman"/>
        </w:rPr>
        <w:t>2021</w:t>
      </w:r>
      <w:r>
        <w:rPr>
          <w:rFonts w:ascii="Times New Roman" w:hAnsi="Times New Roman"/>
        </w:rPr>
        <w:t>年</w:t>
      </w:r>
      <w:r>
        <w:rPr>
          <w:rFonts w:hint="eastAsia" w:ascii="Times New Roman" w:hAnsi="Times New Roman"/>
        </w:rPr>
        <w:t>7</w:t>
      </w:r>
      <w:r>
        <w:rPr>
          <w:rFonts w:ascii="Times New Roman" w:hAnsi="Times New Roman"/>
        </w:rPr>
        <w:t>月</w:t>
      </w:r>
      <w:r>
        <w:rPr>
          <w:rFonts w:hint="eastAsia" w:ascii="Times New Roman" w:hAnsi="Times New Roman"/>
        </w:rPr>
        <w:t>1</w:t>
      </w:r>
      <w:r>
        <w:rPr>
          <w:rFonts w:ascii="Times New Roman" w:hAnsi="Times New Roman"/>
        </w:rPr>
        <w:t>日起施行。</w:t>
      </w:r>
    </w:p>
    <w:p>
      <w:pPr>
        <w:pStyle w:val="Normal"/>
        <w:spacing w:lineRule="exact" w:line="594"/>
        <w:rPr>
          <w:rFonts w:ascii="Times New Roman" w:hAnsi="Times New Roman" w:eastAsia="方正黑体_GBK" w:cs="方正仿宋_GBK" w:hint="eastAsia"/>
          <w:bCs/>
        </w:rPr>
      </w:pPr>
      <w:r>
        <w:rPr>
          <w:rFonts w:eastAsia="方正黑体_GBK" w:cs="方正仿宋_GBK" w:hint="eastAsia" w:ascii="Times New Roman" w:hAnsi="Times New Roman"/>
          <w:bCs/>
        </w:rPr>
      </w:r>
    </w:p>
    <w:sectPr>
      <w:footerReference w:type="default" r:id="rId2"/>
      <w:type w:val="nextPage"/>
      <w:pgSz w:w="11906" w:h="16838"/>
      <w:pgMar w:left="1446" w:right="1446" w:gutter="0" w:header="0" w:top="1984"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_GBK">
    <w:charset w:val="86"/>
    <w:family w:val="script"/>
    <w:pitch w:val="default"/>
  </w:font>
  <w:font w:name="宋体">
    <w:altName w:val="SimSun"/>
    <w:charset w:val="86"/>
    <w:family w:val="auto"/>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732790" cy="303530"/>
              <wp:effectExtent l="0" t="0" r="0" b="0"/>
              <wp:wrapNone/>
              <wp:docPr id="1"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outside;mso-position-horizontal-relative:margin">
              <v:fill opacity="0f"/>
              <v:textbox inset="0.000694444444444445in,0.000694444444444445in,0.000694444444444445in,0.000694444444444445in">
                <w:txbxContent>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批注框文本 Char"/>
    <w:qFormat/>
    <w:rPr>
      <w:rFonts w:ascii="方正仿宋_GBK" w:hAnsi="方正仿宋_GBK" w:eastAsia="方正仿宋_GBK"/>
      <w:kern w:val="2"/>
      <w:sz w:val="18"/>
      <w:szCs w:val="18"/>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2021-06-25T09:47:00Z</dcterms:created>
  <dc:creator>HP</dc:creator>
  <dc:description/>
  <cp:keywords/>
  <dc:language>en-US</dc:language>
  <cp:lastModifiedBy>周文昊</cp:lastModifiedBy>
  <dcterms:modified xsi:type="dcterms:W3CDTF">2021-06-25T09:47:00Z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1768A55AAEBB40A5A5DFE197325A8897</vt:lpwstr>
  </property>
  <property fmtid="{D5CDD505-2E9C-101B-9397-08002B2CF9AE}" pid="3" name="KSOProductBuildVer">
    <vt:lpwstr>2052-11.1.0.10495</vt:lpwstr>
  </property>
  <property fmtid="{D5CDD505-2E9C-101B-9397-08002B2CF9AE}" pid="4" name="KSOSaveFontToCloudKey">
    <vt:lpwstr>662090476_btnclosed</vt:lpwstr>
  </property>
</Properties>
</file>