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Default"/>
        <w:keepNext w:val="false"/>
        <w:keepLines w:val="false"/>
        <w:pageBreakBefore w:val="false"/>
        <w:widowControl w:val="false"/>
        <w:kinsoku w:val="true"/>
        <w:overflowPunct w:val="true"/>
        <w:bidi w:val="0"/>
        <w:snapToGrid w:val="true"/>
        <w:spacing w:lineRule="exact" w:line="594"/>
        <w:textAlignment w:val="auto"/>
        <w:rPr>
          <w:rFonts w:ascii="方正仿宋_GBK" w:hAnsi="方正仿宋_GBK" w:eastAsia="仿宋_GB2312" w:cs="Times New Roman" w:hint="eastAsia"/>
          <w:color w:val="000000"/>
          <w:kern w:val="0"/>
          <w:sz w:val="32"/>
          <w:szCs w:val="32"/>
        </w:rPr>
      </w:pPr>
      <w:r>
        <w:rPr>
          <w:rFonts w:eastAsia="仿宋_GB2312" w:cs="Times New Roman" w:hint="eastAsia" w:ascii="方正仿宋_GBK" w:hAnsi="方正仿宋_GBK"/>
          <w:color w:val="000000"/>
          <w:kern w:val="0"/>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94"/>
        <w:jc w:val="center"/>
        <w:textAlignment w:val="auto"/>
        <w:rPr>
          <w:rFonts w:ascii="黑体" w:hAnsi="黑体" w:eastAsia="黑体" w:cs="宋体;方正书宋_GBK" w:hint="eastAsia"/>
          <w:spacing w:val="-8"/>
          <w:kern w:val="0"/>
          <w:sz w:val="44"/>
          <w:szCs w:val="44"/>
        </w:rPr>
      </w:pPr>
      <w:r>
        <w:rPr>
          <w:rFonts w:ascii="黑体" w:hAnsi="黑体" w:cs="宋体;方正书宋_GBK" w:hint="eastAsia" w:eastAsia="黑体"/>
          <w:spacing w:val="-8"/>
          <w:kern w:val="0"/>
          <w:sz w:val="44"/>
          <w:szCs w:val="44"/>
        </w:rPr>
        <w:t>重庆市红色资源保护传承规定</w:t>
      </w:r>
    </w:p>
    <w:p>
      <w:pPr>
        <w:pStyle w:val="Normal"/>
        <w:keepNext w:val="false"/>
        <w:keepLines w:val="false"/>
        <w:pageBreakBefore w:val="false"/>
        <w:widowControl w:val="false"/>
        <w:kinsoku w:val="true"/>
        <w:overflowPunct w:val="true"/>
        <w:bidi w:val="0"/>
        <w:snapToGrid w:val="true"/>
        <w:spacing w:lineRule="exact" w:line="594"/>
        <w:ind w:firstLineChars="200" w:startChars="0" w:start="0" w:endChars="0" w:end="0"/>
        <w:jc w:val="start"/>
        <w:textAlignment w:val="auto"/>
        <w:rPr>
          <w:rFonts w:ascii="楷体_GB2312" w:hAnsi="楷体_GB2312" w:eastAsia="楷体_GB2312" w:cs="Times New Roman" w:hint="eastAsia"/>
          <w:sz w:val="32"/>
          <w:szCs w:val="32"/>
        </w:rPr>
      </w:pPr>
      <w:r>
        <w:rPr>
          <w:rFonts w:ascii="楷体_GB2312" w:hAnsi="楷体_GB2312" w:cs="Times New Roman" w:hint="eastAsia" w:eastAsia="楷体_GB2312"/>
          <w:sz w:val="32"/>
          <w:szCs w:val="32"/>
        </w:rPr>
        <w:t>（</w:t>
      </w:r>
      <w:r>
        <w:rPr>
          <w:rFonts w:eastAsia="楷体_GB2312" w:cs="Times New Roman" w:hint="eastAsia" w:ascii="Times New Roman" w:hAnsi="Times New Roman"/>
          <w:sz w:val="32"/>
          <w:szCs w:val="32"/>
        </w:rPr>
        <w:t>2022</w:t>
      </w:r>
      <w:r>
        <w:rPr>
          <w:rFonts w:ascii="楷体_GB2312" w:hAnsi="楷体_GB2312" w:cs="Times New Roman" w:hint="eastAsia" w:eastAsia="楷体_GB2312"/>
          <w:sz w:val="32"/>
          <w:szCs w:val="32"/>
        </w:rPr>
        <w:t>年</w:t>
      </w:r>
      <w:r>
        <w:rPr>
          <w:rFonts w:eastAsia="楷体_GB2312" w:cs="Times New Roman" w:hint="eastAsia" w:ascii="Times New Roman" w:hAnsi="Times New Roman"/>
          <w:sz w:val="32"/>
          <w:szCs w:val="32"/>
        </w:rPr>
        <w:t>6</w:t>
      </w:r>
      <w:r>
        <w:rPr>
          <w:rFonts w:ascii="楷体_GB2312" w:hAnsi="楷体_GB2312" w:cs="Times New Roman" w:hint="eastAsia" w:eastAsia="楷体_GB2312"/>
          <w:sz w:val="32"/>
          <w:szCs w:val="32"/>
        </w:rPr>
        <w:t>月</w:t>
      </w:r>
      <w:r>
        <w:rPr>
          <w:rFonts w:eastAsia="楷体_GB2312" w:cs="Times New Roman" w:hint="eastAsia" w:ascii="Times New Roman" w:hAnsi="Times New Roman"/>
          <w:sz w:val="32"/>
          <w:szCs w:val="32"/>
        </w:rPr>
        <w:t>10</w:t>
      </w:r>
      <w:r>
        <w:rPr>
          <w:rFonts w:ascii="楷体_GB2312" w:hAnsi="楷体_GB2312" w:cs="Times New Roman" w:hint="eastAsia" w:eastAsia="楷体_GB2312"/>
          <w:sz w:val="32"/>
          <w:szCs w:val="32"/>
        </w:rPr>
        <w:t>日重庆市第五届人民代表大会常务委员会</w:t>
      </w:r>
    </w:p>
    <w:p>
      <w:pPr>
        <w:pStyle w:val="Normal"/>
        <w:keepNext w:val="false"/>
        <w:keepLines w:val="false"/>
        <w:pageBreakBefore w:val="false"/>
        <w:widowControl w:val="false"/>
        <w:kinsoku w:val="true"/>
        <w:overflowPunct w:val="true"/>
        <w:bidi w:val="0"/>
        <w:snapToGrid w:val="true"/>
        <w:spacing w:lineRule="exact" w:line="594"/>
        <w:jc w:val="start"/>
        <w:textAlignment w:val="auto"/>
        <w:rPr>
          <w:rFonts w:ascii="楷体_GB2312" w:hAnsi="楷体_GB2312" w:eastAsia="楷体_GB2312" w:cs="Times New Roman" w:hint="eastAsia"/>
          <w:sz w:val="32"/>
          <w:szCs w:val="32"/>
        </w:rPr>
      </w:pPr>
      <w:r>
        <w:rPr>
          <w:rFonts w:ascii="楷体_GB2312" w:hAnsi="楷体_GB2312" w:cs="Times New Roman" w:hint="eastAsia" w:eastAsia="楷体_GB2312"/>
          <w:sz w:val="32"/>
          <w:szCs w:val="32"/>
        </w:rPr>
        <w:t>第三十四次会议通过）</w:t>
      </w:r>
    </w:p>
    <w:p>
      <w:pPr>
        <w:pStyle w:val="Normal"/>
        <w:keepNext w:val="false"/>
        <w:keepLines w:val="false"/>
        <w:pageBreakBefore w:val="false"/>
        <w:widowControl/>
        <w:kinsoku w:val="true"/>
        <w:overflowPunct w:val="false"/>
        <w:bidi w:val="0"/>
        <w:snapToGrid w:val="false"/>
        <w:spacing w:lineRule="exact" w:line="594"/>
        <w:ind w:firstLineChars="200" w:startChars="0" w:start="0" w:endChars="0" w:end="0"/>
        <w:textAlignment w:val="auto"/>
        <w:rPr>
          <w:rFonts w:ascii="方正黑体_GBK" w:hAnsi="方正黑体_GBK" w:eastAsia="方正黑体_GBK" w:cs="方正黑体_GBK" w:hint="eastAsia"/>
          <w:sz w:val="32"/>
          <w:szCs w:val="32"/>
          <w:lang w:bidi="ar"/>
        </w:rPr>
      </w:pPr>
      <w:r>
        <w:rPr>
          <w:rFonts w:eastAsia="方正黑体_GBK" w:cs="方正黑体_GBK" w:hint="eastAsia" w:ascii="方正黑体_GBK" w:hAnsi="方正黑体_GBK"/>
          <w:sz w:val="32"/>
          <w:szCs w:val="32"/>
          <w:lang w:bidi="ar"/>
        </w:rPr>
      </w:r>
    </w:p>
    <w:p>
      <w:pPr>
        <w:pStyle w:val="Normal"/>
        <w:keepNext w:val="false"/>
        <w:keepLines w:val="false"/>
        <w:pageBreakBefore w:val="false"/>
        <w:widowControl/>
        <w:kinsoku w:val="true"/>
        <w:overflowPunct w:val="false"/>
        <w:bidi w:val="0"/>
        <w:snapToGrid w:val="false"/>
        <w:spacing w:lineRule="exact" w:line="594"/>
        <w:ind w:firstLineChars="200" w:startChars="0" w:start="0" w:endChars="0" w:end="0"/>
        <w:textAlignment w:val="auto"/>
        <w:rPr>
          <w:rFonts w:ascii="CESI仿宋-GB2312" w:hAnsi="CESI仿宋-GB2312" w:eastAsia="CESI仿宋-GB2312" w:cs="CESI仿宋-GB2312" w:hint="eastAsia"/>
          <w:sz w:val="32"/>
          <w:szCs w:val="32"/>
          <w:lang w:bidi="ar"/>
        </w:rPr>
      </w:pPr>
      <w:r>
        <w:rPr>
          <w:rFonts w:ascii="黑体" w:hAnsi="黑体" w:cs="宋体;方正书宋_GBK" w:hint="eastAsia" w:eastAsia="黑体"/>
          <w:spacing w:val="-8"/>
          <w:kern w:val="0"/>
          <w:sz w:val="32"/>
          <w:szCs w:val="32"/>
        </w:rPr>
        <w:t>第一条</w:t>
      </w:r>
      <w:r>
        <w:rPr>
          <w:rFonts w:ascii="CESI仿宋-GB2312" w:hAnsi="CESI仿宋-GB2312" w:cs="CESI仿宋-GB2312" w:hint="eastAsia" w:eastAsia="CESI仿宋-GB2312"/>
          <w:sz w:val="32"/>
          <w:szCs w:val="32"/>
          <w:lang w:bidi="ar"/>
        </w:rPr>
        <w:t xml:space="preserve">  为了加强红色资源的保护传承，发扬光荣革命传统，弘扬红岩精神，赓续红色血脉，培育和践行社会主义核心价值观，根据有关法律、行政法规，结合本市实际，制定本规定。</w:t>
      </w:r>
    </w:p>
    <w:p>
      <w:pPr>
        <w:pStyle w:val="Normal"/>
        <w:keepNext w:val="false"/>
        <w:keepLines w:val="false"/>
        <w:pageBreakBefore w:val="false"/>
        <w:widowControl/>
        <w:kinsoku w:val="true"/>
        <w:overflowPunct w:val="false"/>
        <w:bidi w:val="0"/>
        <w:snapToGrid w:val="false"/>
        <w:spacing w:lineRule="exact" w:line="594"/>
        <w:ind w:firstLineChars="200" w:startChars="0" w:start="0" w:endChars="0" w:end="0"/>
        <w:textAlignment w:val="auto"/>
        <w:rPr>
          <w:rFonts w:ascii="CESI仿宋-GB2312" w:hAnsi="CESI仿宋-GB2312" w:eastAsia="CESI仿宋-GB2312" w:cs="CESI仿宋-GB2312" w:hint="eastAsia"/>
          <w:sz w:val="32"/>
          <w:szCs w:val="32"/>
          <w:lang w:bidi="ar"/>
        </w:rPr>
      </w:pPr>
      <w:r>
        <w:rPr>
          <w:rFonts w:ascii="黑体" w:hAnsi="黑体" w:cs="宋体;方正书宋_GBK" w:hint="eastAsia" w:eastAsia="黑体"/>
          <w:spacing w:val="-8"/>
          <w:kern w:val="0"/>
          <w:sz w:val="32"/>
          <w:szCs w:val="32"/>
        </w:rPr>
        <w:t>第二条</w:t>
      </w:r>
      <w:r>
        <w:rPr>
          <w:rFonts w:ascii="CESI仿宋-GB2312" w:hAnsi="CESI仿宋-GB2312" w:cs="CESI仿宋-GB2312" w:hint="eastAsia" w:eastAsia="CESI仿宋-GB2312"/>
          <w:sz w:val="32"/>
          <w:szCs w:val="32"/>
          <w:lang w:bidi="ar"/>
        </w:rPr>
        <w:t xml:space="preserve">  本市行政区域内红色资源的调查认定、保护利用、传承弘扬等活动，适用本规定。</w:t>
      </w:r>
    </w:p>
    <w:p>
      <w:pPr>
        <w:pStyle w:val="Normal"/>
        <w:keepNext w:val="false"/>
        <w:keepLines w:val="false"/>
        <w:pageBreakBefore w:val="false"/>
        <w:widowControl/>
        <w:kinsoku w:val="true"/>
        <w:overflowPunct w:val="false"/>
        <w:bidi w:val="0"/>
        <w:snapToGrid w:val="false"/>
        <w:spacing w:lineRule="exact" w:line="594"/>
        <w:ind w:firstLineChars="200" w:startChars="0" w:start="0" w:endChars="0" w:end="0"/>
        <w:textAlignment w:val="auto"/>
        <w:rPr>
          <w:rFonts w:ascii="CESI仿宋-GB2312" w:hAnsi="CESI仿宋-GB2312" w:eastAsia="CESI仿宋-GB2312" w:cs="CESI仿宋-GB2312" w:hint="eastAsia"/>
          <w:sz w:val="32"/>
          <w:szCs w:val="32"/>
          <w:lang w:bidi="ar"/>
        </w:rPr>
      </w:pPr>
      <w:r>
        <w:rPr>
          <w:rFonts w:ascii="CESI仿宋-GB2312" w:hAnsi="CESI仿宋-GB2312" w:cs="CESI仿宋-GB2312" w:hint="eastAsia" w:eastAsia="CESI仿宋-GB2312"/>
          <w:sz w:val="32"/>
          <w:szCs w:val="32"/>
          <w:lang w:bidi="ar"/>
        </w:rPr>
        <w:t>本规定所称红色资源，是指在中国共产党领导下，新民主主义革命时期、社会主义革命和建设时期、改革开放和社会主义现代化建设新时期、中国特色社会主义新时代形成的，具有历史价值、教育意义、纪念意义的资源，包括：</w:t>
      </w:r>
    </w:p>
    <w:p>
      <w:pPr>
        <w:pStyle w:val="Normal"/>
        <w:keepNext w:val="false"/>
        <w:keepLines w:val="false"/>
        <w:pageBreakBefore w:val="false"/>
        <w:widowControl/>
        <w:kinsoku w:val="true"/>
        <w:overflowPunct w:val="false"/>
        <w:bidi w:val="0"/>
        <w:snapToGrid w:val="false"/>
        <w:spacing w:lineRule="exact" w:line="594"/>
        <w:ind w:firstLineChars="200" w:startChars="0" w:start="0" w:endChars="0" w:end="0"/>
        <w:textAlignment w:val="auto"/>
        <w:rPr>
          <w:rFonts w:ascii="CESI仿宋-GB2312" w:hAnsi="CESI仿宋-GB2312" w:eastAsia="CESI仿宋-GB2312" w:cs="CESI仿宋-GB2312" w:hint="eastAsia"/>
          <w:sz w:val="32"/>
          <w:szCs w:val="32"/>
          <w:lang w:bidi="ar"/>
        </w:rPr>
      </w:pPr>
      <w:r>
        <w:rPr>
          <w:rFonts w:ascii="CESI仿宋-GB2312" w:hAnsi="CESI仿宋-GB2312" w:cs="CESI仿宋-GB2312" w:hint="eastAsia" w:eastAsia="CESI仿宋-GB2312"/>
          <w:sz w:val="32"/>
          <w:szCs w:val="32"/>
          <w:lang w:bidi="ar"/>
        </w:rPr>
        <w:t>（一）重要旧址、遗址、纪念设施或者场所等不可移动资源；</w:t>
      </w:r>
    </w:p>
    <w:p>
      <w:pPr>
        <w:pStyle w:val="Normal"/>
        <w:keepNext w:val="false"/>
        <w:keepLines w:val="false"/>
        <w:pageBreakBefore w:val="false"/>
        <w:widowControl/>
        <w:kinsoku w:val="true"/>
        <w:overflowPunct w:val="false"/>
        <w:bidi w:val="0"/>
        <w:snapToGrid w:val="false"/>
        <w:spacing w:lineRule="exact" w:line="594"/>
        <w:ind w:firstLineChars="200" w:startChars="0" w:start="0" w:endChars="0" w:end="0"/>
        <w:textAlignment w:val="auto"/>
        <w:rPr>
          <w:rFonts w:ascii="CESI仿宋-GB2312" w:hAnsi="CESI仿宋-GB2312" w:eastAsia="CESI仿宋-GB2312" w:cs="CESI仿宋-GB2312" w:hint="eastAsia"/>
          <w:sz w:val="32"/>
          <w:szCs w:val="32"/>
          <w:lang w:bidi="ar"/>
        </w:rPr>
      </w:pPr>
      <w:r>
        <w:rPr>
          <w:rFonts w:ascii="CESI仿宋-GB2312" w:hAnsi="CESI仿宋-GB2312" w:cs="CESI仿宋-GB2312" w:hint="eastAsia" w:eastAsia="CESI仿宋-GB2312"/>
          <w:sz w:val="32"/>
          <w:szCs w:val="32"/>
          <w:lang w:bidi="ar"/>
        </w:rPr>
        <w:t xml:space="preserve">（二）重要档案、文献、手稿、实物、口述历史记录、回忆记录、声像资料等可移动资源；  </w:t>
      </w:r>
    </w:p>
    <w:p>
      <w:pPr>
        <w:pStyle w:val="Normal"/>
        <w:keepNext w:val="false"/>
        <w:keepLines w:val="false"/>
        <w:pageBreakBefore w:val="false"/>
        <w:widowControl/>
        <w:kinsoku w:val="true"/>
        <w:overflowPunct w:val="false"/>
        <w:bidi w:val="0"/>
        <w:snapToGrid w:val="false"/>
        <w:spacing w:lineRule="exact" w:line="594"/>
        <w:ind w:firstLineChars="200" w:startChars="0" w:start="0" w:endChars="0" w:end="0"/>
        <w:textAlignment w:val="auto"/>
        <w:rPr>
          <w:rFonts w:ascii="CESI仿宋-GB2312" w:hAnsi="CESI仿宋-GB2312" w:eastAsia="CESI仿宋-GB2312" w:cs="CESI仿宋-GB2312" w:hint="eastAsia"/>
          <w:sz w:val="32"/>
          <w:szCs w:val="32"/>
          <w:lang w:bidi="ar"/>
        </w:rPr>
      </w:pPr>
      <w:r>
        <w:rPr>
          <w:rFonts w:ascii="CESI仿宋-GB2312" w:hAnsi="CESI仿宋-GB2312" w:cs="CESI仿宋-GB2312" w:hint="eastAsia" w:eastAsia="CESI仿宋-GB2312"/>
          <w:sz w:val="32"/>
          <w:szCs w:val="32"/>
          <w:lang w:bidi="ar"/>
        </w:rPr>
        <w:t>（三）其他需要保护的红色资源。</w:t>
      </w:r>
    </w:p>
    <w:p>
      <w:pPr>
        <w:pStyle w:val="Normal"/>
        <w:keepNext w:val="false"/>
        <w:keepLines w:val="false"/>
        <w:pageBreakBefore w:val="false"/>
        <w:widowControl/>
        <w:kinsoku w:val="true"/>
        <w:overflowPunct w:val="false"/>
        <w:bidi w:val="0"/>
        <w:snapToGrid w:val="false"/>
        <w:spacing w:lineRule="exact" w:line="594"/>
        <w:ind w:firstLineChars="200" w:startChars="0" w:start="0" w:endChars="0" w:end="0"/>
        <w:textAlignment w:val="auto"/>
        <w:rPr>
          <w:rFonts w:ascii="CESI仿宋-GB2312" w:hAnsi="CESI仿宋-GB2312" w:eastAsia="CESI仿宋-GB2312" w:cs="CESI仿宋-GB2312" w:hint="eastAsia"/>
          <w:color w:val="000000"/>
          <w:kern w:val="2"/>
          <w:sz w:val="32"/>
          <w:szCs w:val="32"/>
        </w:rPr>
      </w:pPr>
      <w:r>
        <w:rPr>
          <w:rFonts w:ascii="黑体" w:hAnsi="黑体" w:cs="宋体;方正书宋_GBK" w:hint="eastAsia" w:eastAsia="黑体"/>
          <w:spacing w:val="0"/>
          <w:kern w:val="0"/>
          <w:sz w:val="32"/>
          <w:szCs w:val="32"/>
        </w:rPr>
        <w:t>第三条</w:t>
      </w:r>
      <w:r>
        <w:rPr>
          <w:rFonts w:ascii="CESI仿宋-GB2312" w:hAnsi="CESI仿宋-GB2312" w:cs="CESI仿宋-GB2312" w:hint="eastAsia" w:eastAsia="CESI仿宋-GB2312"/>
          <w:spacing w:val="0"/>
          <w:kern w:val="2"/>
          <w:sz w:val="32"/>
          <w:szCs w:val="32"/>
          <w:lang w:bidi="ar"/>
        </w:rPr>
        <w:t xml:space="preserve">  红色资源保护传承，应当坚持尊重历史、科学认定、依法保护、合理利用、永续传承的原</w:t>
      </w:r>
      <w:r>
        <w:rPr>
          <w:rFonts w:ascii="CESI仿宋-GB2312" w:hAnsi="CESI仿宋-GB2312" w:cs="CESI仿宋-GB2312" w:hint="eastAsia" w:eastAsia="CESI仿宋-GB2312"/>
          <w:kern w:val="2"/>
          <w:sz w:val="32"/>
          <w:szCs w:val="32"/>
          <w:lang w:bidi="ar"/>
        </w:rPr>
        <w:t>则，实行党委领导、政府负责、部门协同、社会参与的工作机制。</w:t>
      </w:r>
    </w:p>
    <w:p>
      <w:pPr>
        <w:pStyle w:val="Normal"/>
        <w:keepNext w:val="false"/>
        <w:keepLines w:val="false"/>
        <w:pageBreakBefore w:val="false"/>
        <w:kinsoku w:val="true"/>
        <w:bidi w:val="0"/>
        <w:snapToGrid w:val="false"/>
        <w:spacing w:lineRule="exact" w:line="594"/>
        <w:ind w:firstLineChars="200" w:startChars="0" w:start="0" w:endChars="0" w:end="0"/>
        <w:textAlignment w:val="auto"/>
        <w:rPr>
          <w:rFonts w:ascii="CESI仿宋-GB2312" w:hAnsi="CESI仿宋-GB2312" w:eastAsia="CESI仿宋-GB2312" w:cs="CESI仿宋-GB2312" w:hint="eastAsia"/>
          <w:kern w:val="2"/>
          <w:sz w:val="32"/>
          <w:szCs w:val="32"/>
          <w:lang w:bidi="ar"/>
        </w:rPr>
      </w:pPr>
      <w:r>
        <w:rPr>
          <w:rFonts w:ascii="黑体" w:hAnsi="黑体" w:cs="宋体;方正书宋_GBK" w:hint="eastAsia" w:eastAsia="黑体"/>
          <w:spacing w:val="-8"/>
          <w:kern w:val="0"/>
          <w:sz w:val="32"/>
          <w:szCs w:val="32"/>
        </w:rPr>
        <w:t>第四条</w:t>
      </w:r>
      <w:r>
        <w:rPr>
          <w:rFonts w:ascii="CESI仿宋-GB2312" w:hAnsi="CESI仿宋-GB2312" w:cs="CESI仿宋-GB2312" w:hint="eastAsia" w:eastAsia="CESI仿宋-GB2312"/>
          <w:sz w:val="32"/>
          <w:szCs w:val="32"/>
          <w:lang w:bidi="ar"/>
        </w:rPr>
        <w:t xml:space="preserve">  市、区县（自治县）人民政府应当将红色资源保护传承纳入本级国民经济和社会发展规划以及政府目标责任考核，加强红色资源基础设施、</w:t>
      </w:r>
      <w:r>
        <w:rPr>
          <w:rFonts w:ascii="CESI仿宋-GB2312" w:hAnsi="CESI仿宋-GB2312" w:cs="CESI仿宋-GB2312" w:hint="eastAsia" w:eastAsia="CESI仿宋-GB2312"/>
          <w:kern w:val="2"/>
          <w:sz w:val="32"/>
          <w:szCs w:val="32"/>
          <w:lang w:bidi="ar"/>
        </w:rPr>
        <w:t>配套设施和体验设施的规划建设，提升红色资源保护传承工作水平。</w:t>
      </w:r>
    </w:p>
    <w:p>
      <w:pPr>
        <w:pStyle w:val="Normal"/>
        <w:keepNext w:val="false"/>
        <w:keepLines w:val="false"/>
        <w:pageBreakBefore w:val="false"/>
        <w:kinsoku w:val="true"/>
        <w:bidi w:val="0"/>
        <w:snapToGrid w:val="false"/>
        <w:spacing w:lineRule="exact" w:line="594"/>
        <w:ind w:firstLineChars="200" w:startChars="0" w:start="0" w:endChars="0" w:end="0"/>
        <w:textAlignment w:val="auto"/>
        <w:rPr>
          <w:rFonts w:ascii="CESI仿宋-GB2312" w:hAnsi="CESI仿宋-GB2312" w:eastAsia="CESI仿宋-GB2312" w:cs="CESI仿宋-GB2312" w:hint="eastAsia"/>
          <w:kern w:val="2"/>
          <w:sz w:val="32"/>
          <w:szCs w:val="32"/>
          <w:lang w:bidi="ar"/>
        </w:rPr>
      </w:pPr>
      <w:r>
        <w:rPr>
          <w:rFonts w:ascii="CESI仿宋-GB2312" w:hAnsi="CESI仿宋-GB2312" w:cs="CESI仿宋-GB2312" w:hint="eastAsia" w:eastAsia="CESI仿宋-GB2312"/>
          <w:kern w:val="2"/>
          <w:sz w:val="32"/>
          <w:szCs w:val="32"/>
          <w:lang w:bidi="ar"/>
        </w:rPr>
        <w:t>乡（镇）人民政府、街道办事处按照职责，开展辖区内红色资源保护传承相关工作。</w:t>
      </w:r>
    </w:p>
    <w:p>
      <w:pPr>
        <w:pStyle w:val="Normal"/>
        <w:keepNext w:val="false"/>
        <w:keepLines w:val="false"/>
        <w:pageBreakBefore w:val="false"/>
        <w:kinsoku w:val="true"/>
        <w:bidi w:val="0"/>
        <w:snapToGrid w:val="false"/>
        <w:spacing w:lineRule="exact" w:line="594"/>
        <w:ind w:firstLineChars="200" w:startChars="0" w:start="0" w:endChars="0" w:end="0"/>
        <w:textAlignment w:val="auto"/>
        <w:rPr>
          <w:rFonts w:ascii="CESI仿宋-GB2312" w:hAnsi="CESI仿宋-GB2312" w:eastAsia="CESI仿宋-GB2312" w:cs="CESI仿宋-GB2312" w:hint="eastAsia"/>
          <w:spacing w:val="0"/>
          <w:sz w:val="32"/>
          <w:szCs w:val="32"/>
          <w:lang w:bidi="ar"/>
        </w:rPr>
      </w:pPr>
      <w:r>
        <w:rPr>
          <w:rFonts w:ascii="CESI仿宋-GB2312" w:hAnsi="CESI仿宋-GB2312" w:cs="CESI仿宋-GB2312" w:hint="eastAsia" w:eastAsia="CESI仿宋-GB2312"/>
          <w:spacing w:val="0"/>
          <w:kern w:val="2"/>
          <w:sz w:val="32"/>
          <w:szCs w:val="32"/>
          <w:lang w:bidi="ar"/>
        </w:rPr>
        <w:t>村（居）民委员会协助开展红色</w:t>
      </w:r>
      <w:r>
        <w:rPr>
          <w:rFonts w:ascii="CESI仿宋-GB2312" w:hAnsi="CESI仿宋-GB2312" w:cs="CESI仿宋-GB2312" w:hint="eastAsia" w:eastAsia="CESI仿宋-GB2312"/>
          <w:spacing w:val="0"/>
          <w:sz w:val="32"/>
          <w:szCs w:val="32"/>
          <w:lang w:bidi="ar"/>
        </w:rPr>
        <w:t>资源保护传承相关工作。</w:t>
      </w:r>
    </w:p>
    <w:p>
      <w:pPr>
        <w:pStyle w:val="Normal"/>
        <w:keepNext w:val="false"/>
        <w:keepLines w:val="false"/>
        <w:pageBreakBefore w:val="false"/>
        <w:kinsoku w:val="true"/>
        <w:bidi w:val="0"/>
        <w:snapToGrid w:val="false"/>
        <w:spacing w:lineRule="exact" w:line="594"/>
        <w:ind w:firstLineChars="200" w:startChars="0" w:start="0" w:endChars="0" w:end="0"/>
        <w:textAlignment w:val="auto"/>
        <w:rPr>
          <w:rFonts w:ascii="CESI仿宋-GB2312" w:hAnsi="CESI仿宋-GB2312" w:eastAsia="CESI仿宋-GB2312" w:cs="CESI仿宋-GB2312" w:hint="eastAsia"/>
          <w:color w:val="000000"/>
          <w:spacing w:val="0"/>
          <w:sz w:val="32"/>
          <w:szCs w:val="32"/>
        </w:rPr>
      </w:pPr>
      <w:r>
        <w:rPr>
          <w:rFonts w:ascii="黑体" w:hAnsi="黑体" w:cs="宋体;方正书宋_GBK" w:hint="eastAsia" w:eastAsia="黑体"/>
          <w:spacing w:val="0"/>
          <w:kern w:val="0"/>
          <w:sz w:val="32"/>
          <w:szCs w:val="32"/>
        </w:rPr>
        <w:t>第五条</w:t>
      </w:r>
      <w:r>
        <w:rPr>
          <w:rFonts w:ascii="CESI仿宋-GB2312" w:hAnsi="CESI仿宋-GB2312" w:cs="CESI仿宋-GB2312" w:hint="eastAsia" w:eastAsia="CESI仿宋-GB2312"/>
          <w:spacing w:val="0"/>
          <w:sz w:val="32"/>
          <w:szCs w:val="32"/>
          <w:lang w:bidi="ar"/>
        </w:rPr>
        <w:t xml:space="preserve">  市、区县（自治县）建立红色资源保护传承工作联席会议制度，负责统筹、指导、协调、推动红色资源保护传承，研究解决工作中的重大问题。联席会议办事机构设在同级宣传部门。</w:t>
      </w:r>
    </w:p>
    <w:p>
      <w:pPr>
        <w:pStyle w:val="Normal"/>
        <w:keepNext w:val="false"/>
        <w:keepLines w:val="false"/>
        <w:pageBreakBefore w:val="false"/>
        <w:kinsoku w:val="true"/>
        <w:bidi w:val="0"/>
        <w:snapToGrid w:val="false"/>
        <w:spacing w:lineRule="exact" w:line="594"/>
        <w:ind w:firstLineChars="200" w:startChars="0" w:start="0" w:endChars="0" w:end="0"/>
        <w:textAlignment w:val="auto"/>
        <w:rPr>
          <w:rFonts w:ascii="CESI仿宋-GB2312" w:hAnsi="CESI仿宋-GB2312" w:eastAsia="CESI仿宋-GB2312" w:cs="CESI仿宋-GB2312" w:hint="eastAsia"/>
          <w:kern w:val="2"/>
          <w:sz w:val="32"/>
          <w:szCs w:val="32"/>
          <w:lang w:bidi="ar"/>
        </w:rPr>
      </w:pPr>
      <w:r>
        <w:rPr>
          <w:rFonts w:ascii="黑体" w:hAnsi="黑体" w:cs="宋体;方正书宋_GBK" w:hint="eastAsia" w:eastAsia="黑体"/>
          <w:spacing w:val="-8"/>
          <w:kern w:val="0"/>
          <w:sz w:val="32"/>
          <w:szCs w:val="32"/>
        </w:rPr>
        <w:t>第六条</w:t>
      </w:r>
      <w:r>
        <w:rPr>
          <w:rFonts w:ascii="CESI仿宋-GB2312" w:hAnsi="CESI仿宋-GB2312" w:cs="CESI仿宋-GB2312" w:hint="eastAsia" w:eastAsia="CESI仿宋-GB2312"/>
          <w:sz w:val="32"/>
          <w:szCs w:val="32"/>
          <w:lang w:bidi="ar"/>
        </w:rPr>
        <w:t xml:space="preserve">  </w:t>
      </w:r>
      <w:r>
        <w:rPr>
          <w:rFonts w:ascii="CESI仿宋-GB2312" w:hAnsi="CESI仿宋-GB2312" w:cs="CESI仿宋-GB2312" w:hint="eastAsia" w:eastAsia="CESI仿宋-GB2312"/>
          <w:kern w:val="2"/>
          <w:sz w:val="32"/>
          <w:szCs w:val="32"/>
          <w:lang w:bidi="ar"/>
        </w:rPr>
        <w:t>市和区县（自治县）对红色资源保护传承负有协调、管理、宣传、指导职责的部门（以下统称为红色资源工作部门），按照下列分工开展工作：</w:t>
      </w:r>
    </w:p>
    <w:p>
      <w:pPr>
        <w:pStyle w:val="Normal"/>
        <w:keepNext w:val="false"/>
        <w:keepLines w:val="false"/>
        <w:pageBreakBefore w:val="false"/>
        <w:kinsoku w:val="true"/>
        <w:bidi w:val="0"/>
        <w:snapToGrid w:val="false"/>
        <w:spacing w:lineRule="exact" w:line="594"/>
        <w:ind w:firstLineChars="200" w:startChars="0" w:start="0" w:endChars="0" w:end="0"/>
        <w:textAlignment w:val="auto"/>
        <w:rPr>
          <w:rFonts w:ascii="CESI仿宋-GB2312" w:hAnsi="CESI仿宋-GB2312" w:eastAsia="CESI仿宋-GB2312" w:cs="CESI仿宋-GB2312" w:hint="eastAsia"/>
          <w:kern w:val="2"/>
          <w:sz w:val="32"/>
          <w:szCs w:val="32"/>
          <w:lang w:bidi="ar"/>
        </w:rPr>
      </w:pPr>
      <w:r>
        <w:rPr>
          <w:rFonts w:ascii="CESI仿宋-GB2312" w:hAnsi="CESI仿宋-GB2312" w:cs="CESI仿宋-GB2312" w:hint="eastAsia" w:eastAsia="CESI仿宋-GB2312"/>
          <w:kern w:val="2"/>
          <w:sz w:val="32"/>
          <w:szCs w:val="32"/>
          <w:lang w:bidi="ar"/>
        </w:rPr>
        <w:t>（一）宣传部门负责同级红色资源联席会议的召集协调、联席会议决定的督促落实以及联席会议交办的相关工作；</w:t>
      </w:r>
    </w:p>
    <w:p>
      <w:pPr>
        <w:pStyle w:val="Normal"/>
        <w:keepNext w:val="false"/>
        <w:keepLines w:val="false"/>
        <w:pageBreakBefore w:val="false"/>
        <w:kinsoku w:val="true"/>
        <w:bidi w:val="0"/>
        <w:snapToGrid w:val="false"/>
        <w:spacing w:lineRule="exact" w:line="594"/>
        <w:ind w:firstLineChars="200" w:startChars="0" w:start="0" w:endChars="0" w:end="0"/>
        <w:textAlignment w:val="auto"/>
        <w:rPr>
          <w:rFonts w:ascii="CESI仿宋-GB2312" w:hAnsi="CESI仿宋-GB2312" w:eastAsia="CESI仿宋-GB2312" w:cs="CESI仿宋-GB2312" w:hint="eastAsia"/>
          <w:kern w:val="2"/>
          <w:sz w:val="32"/>
          <w:szCs w:val="32"/>
          <w:lang w:bidi="ar"/>
        </w:rPr>
      </w:pPr>
      <w:r>
        <w:rPr>
          <w:rFonts w:ascii="CESI仿宋-GB2312" w:hAnsi="CESI仿宋-GB2312" w:cs="CESI仿宋-GB2312" w:hint="eastAsia" w:eastAsia="CESI仿宋-GB2312"/>
          <w:kern w:val="2"/>
          <w:sz w:val="32"/>
          <w:szCs w:val="32"/>
          <w:lang w:bidi="ar"/>
        </w:rPr>
        <w:t>（二）文化和旅游部门负责红色资源保护责任人责任清单编制，红</w:t>
      </w:r>
      <w:r>
        <w:rPr>
          <w:rFonts w:ascii="CESI仿宋-GB2312" w:hAnsi="CESI仿宋-GB2312" w:cs="CESI仿宋-GB2312" w:hint="eastAsia" w:eastAsia="CESI仿宋-GB2312"/>
          <w:sz w:val="32"/>
          <w:szCs w:val="32"/>
          <w:lang w:bidi="ar"/>
        </w:rPr>
        <w:t>色资源中文物、非物质文化遗产保</w:t>
      </w:r>
      <w:r>
        <w:rPr>
          <w:rFonts w:ascii="CESI仿宋-GB2312" w:hAnsi="CESI仿宋-GB2312" w:cs="CESI仿宋-GB2312" w:hint="eastAsia" w:eastAsia="CESI仿宋-GB2312"/>
          <w:kern w:val="2"/>
          <w:sz w:val="32"/>
          <w:szCs w:val="32"/>
          <w:lang w:bidi="ar"/>
        </w:rPr>
        <w:t xml:space="preserve">护传承，以及与红色资源相关的公共文化、旅游服务等事项的协调、管理、宣传、指导工作； </w:t>
      </w:r>
    </w:p>
    <w:p>
      <w:pPr>
        <w:pStyle w:val="Normal"/>
        <w:keepNext w:val="false"/>
        <w:keepLines w:val="false"/>
        <w:pageBreakBefore w:val="false"/>
        <w:kinsoku w:val="true"/>
        <w:bidi w:val="0"/>
        <w:snapToGrid w:val="false"/>
        <w:spacing w:lineRule="exact" w:line="594"/>
        <w:ind w:firstLineChars="200" w:startChars="0" w:start="0" w:endChars="0" w:end="0"/>
        <w:textAlignment w:val="auto"/>
        <w:rPr>
          <w:rFonts w:ascii="CESI仿宋-GB2312" w:hAnsi="CESI仿宋-GB2312" w:eastAsia="CESI仿宋-GB2312" w:cs="CESI仿宋-GB2312" w:hint="eastAsia"/>
          <w:kern w:val="2"/>
          <w:sz w:val="32"/>
          <w:szCs w:val="32"/>
          <w:lang w:bidi="ar"/>
        </w:rPr>
      </w:pPr>
      <w:r>
        <w:rPr>
          <w:rFonts w:ascii="CESI仿宋-GB2312" w:hAnsi="CESI仿宋-GB2312" w:cs="CESI仿宋-GB2312" w:hint="eastAsia" w:eastAsia="CESI仿宋-GB2312"/>
          <w:kern w:val="2"/>
          <w:sz w:val="32"/>
          <w:szCs w:val="32"/>
          <w:lang w:bidi="ar"/>
        </w:rPr>
        <w:t>（三）退役军人事务部门负责红色资源中烈士纪念设施保护传承、烈士褒扬等事项的协调、管理、宣传、指导工作； </w:t>
      </w:r>
    </w:p>
    <w:p>
      <w:pPr>
        <w:pStyle w:val="Normal"/>
        <w:keepNext w:val="false"/>
        <w:keepLines w:val="false"/>
        <w:pageBreakBefore w:val="false"/>
        <w:kinsoku w:val="true"/>
        <w:bidi w:val="0"/>
        <w:snapToGrid w:val="false"/>
        <w:spacing w:lineRule="exact" w:line="594"/>
        <w:ind w:firstLineChars="200" w:startChars="0" w:start="0" w:endChars="0" w:end="0"/>
        <w:textAlignment w:val="auto"/>
        <w:rPr>
          <w:rFonts w:ascii="CESI仿宋-GB2312" w:hAnsi="CESI仿宋-GB2312" w:eastAsia="CESI仿宋-GB2312" w:cs="CESI仿宋-GB2312" w:hint="eastAsia"/>
          <w:kern w:val="2"/>
          <w:sz w:val="32"/>
          <w:szCs w:val="32"/>
          <w:lang w:bidi="ar"/>
        </w:rPr>
      </w:pPr>
      <w:r>
        <w:rPr>
          <w:rFonts w:ascii="CESI仿宋-GB2312" w:hAnsi="CESI仿宋-GB2312" w:cs="CESI仿宋-GB2312" w:hint="eastAsia" w:eastAsia="CESI仿宋-GB2312"/>
          <w:kern w:val="2"/>
          <w:sz w:val="32"/>
          <w:szCs w:val="32"/>
          <w:lang w:bidi="ar"/>
        </w:rPr>
        <w:t>（四）规划和自然资源部门负责历史文化名城、名镇、名村、街区，传统风貌区，历史建筑，以及传统风貌建筑中的不可移动红色资源保护规划的管理工作；</w:t>
      </w:r>
    </w:p>
    <w:p>
      <w:pPr>
        <w:pStyle w:val="Normal"/>
        <w:keepNext w:val="false"/>
        <w:keepLines w:val="false"/>
        <w:pageBreakBefore w:val="false"/>
        <w:kinsoku w:val="true"/>
        <w:bidi w:val="0"/>
        <w:snapToGrid w:val="false"/>
        <w:spacing w:lineRule="exact" w:line="594"/>
        <w:ind w:firstLineChars="200" w:startChars="0" w:start="0" w:endChars="0" w:end="0"/>
        <w:textAlignment w:val="auto"/>
        <w:rPr>
          <w:rFonts w:ascii="CESI仿宋-GB2312" w:hAnsi="CESI仿宋-GB2312" w:eastAsia="CESI仿宋-GB2312" w:cs="CESI仿宋-GB2312" w:hint="eastAsia"/>
          <w:kern w:val="2"/>
          <w:sz w:val="32"/>
          <w:szCs w:val="32"/>
          <w:lang w:bidi="ar"/>
        </w:rPr>
      </w:pPr>
      <w:r>
        <w:rPr>
          <w:rFonts w:ascii="CESI仿宋-GB2312" w:hAnsi="CESI仿宋-GB2312" w:cs="CESI仿宋-GB2312" w:hint="eastAsia" w:eastAsia="CESI仿宋-GB2312"/>
          <w:kern w:val="2"/>
          <w:sz w:val="32"/>
          <w:szCs w:val="32"/>
          <w:lang w:bidi="ar"/>
        </w:rPr>
        <w:t>（五）住房城乡建设部门负责历史文化名城、名镇、名村、街区和传统风貌区中的不可移动红色资源保护建设的管理工作，指导历史建筑、传统风貌建筑中不可移动红色资源的修复建设；</w:t>
      </w:r>
    </w:p>
    <w:p>
      <w:pPr>
        <w:pStyle w:val="Normal"/>
        <w:keepNext w:val="false"/>
        <w:keepLines w:val="false"/>
        <w:pageBreakBefore w:val="false"/>
        <w:kinsoku w:val="true"/>
        <w:bidi w:val="0"/>
        <w:snapToGrid w:val="false"/>
        <w:spacing w:lineRule="exact" w:line="594"/>
        <w:ind w:firstLineChars="200" w:startChars="0" w:start="0" w:endChars="0" w:end="0"/>
        <w:textAlignment w:val="auto"/>
        <w:rPr>
          <w:rFonts w:ascii="CESI仿宋-GB2312" w:hAnsi="CESI仿宋-GB2312" w:eastAsia="CESI仿宋-GB2312" w:cs="CESI仿宋-GB2312" w:hint="eastAsia"/>
          <w:kern w:val="2"/>
          <w:sz w:val="32"/>
          <w:szCs w:val="32"/>
          <w:lang w:bidi="ar"/>
        </w:rPr>
      </w:pPr>
      <w:r>
        <w:rPr>
          <w:rFonts w:ascii="CESI仿宋-GB2312" w:hAnsi="CESI仿宋-GB2312" w:cs="CESI仿宋-GB2312" w:hint="eastAsia" w:eastAsia="CESI仿宋-GB2312"/>
          <w:kern w:val="2"/>
          <w:sz w:val="32"/>
          <w:szCs w:val="32"/>
          <w:lang w:bidi="ar"/>
        </w:rPr>
        <w:t>（六）档案部门负责监督指导红色资源中档案的保护、利用工作；</w:t>
      </w:r>
    </w:p>
    <w:p>
      <w:pPr>
        <w:pStyle w:val="Normal"/>
        <w:keepNext w:val="false"/>
        <w:keepLines w:val="false"/>
        <w:pageBreakBefore w:val="false"/>
        <w:kinsoku w:val="true"/>
        <w:bidi w:val="0"/>
        <w:snapToGrid w:val="false"/>
        <w:spacing w:lineRule="exact" w:line="594"/>
        <w:ind w:firstLineChars="200" w:startChars="0" w:start="0" w:endChars="0" w:end="0"/>
        <w:textAlignment w:val="auto"/>
        <w:rPr>
          <w:rFonts w:ascii="CESI仿宋-GB2312" w:hAnsi="CESI仿宋-GB2312" w:eastAsia="CESI仿宋-GB2312" w:cs="CESI仿宋-GB2312" w:hint="eastAsia"/>
          <w:kern w:val="2"/>
          <w:sz w:val="32"/>
          <w:szCs w:val="32"/>
          <w:lang w:bidi="ar"/>
        </w:rPr>
      </w:pPr>
      <w:r>
        <w:rPr>
          <w:rFonts w:ascii="CESI仿宋-GB2312" w:hAnsi="CESI仿宋-GB2312" w:cs="CESI仿宋-GB2312" w:hint="eastAsia" w:eastAsia="CESI仿宋-GB2312"/>
          <w:kern w:val="2"/>
          <w:sz w:val="32"/>
          <w:szCs w:val="32"/>
          <w:lang w:bidi="ar"/>
        </w:rPr>
        <w:t>（七）教育行政部门负责指导和监督学校利用红色资源开展教育工作；</w:t>
      </w:r>
    </w:p>
    <w:p>
      <w:pPr>
        <w:pStyle w:val="Normal"/>
        <w:keepNext w:val="false"/>
        <w:keepLines w:val="false"/>
        <w:pageBreakBefore w:val="false"/>
        <w:kinsoku w:val="true"/>
        <w:bidi w:val="0"/>
        <w:snapToGrid w:val="false"/>
        <w:spacing w:lineRule="exact" w:line="594"/>
        <w:ind w:firstLineChars="200" w:startChars="0" w:start="0" w:endChars="0" w:end="0"/>
        <w:textAlignment w:val="auto"/>
        <w:rPr>
          <w:rFonts w:ascii="CESI仿宋-GB2312" w:hAnsi="CESI仿宋-GB2312" w:eastAsia="CESI仿宋-GB2312" w:cs="CESI仿宋-GB2312" w:hint="eastAsia"/>
          <w:kern w:val="2"/>
          <w:sz w:val="32"/>
          <w:szCs w:val="32"/>
          <w:lang w:bidi="ar"/>
        </w:rPr>
      </w:pPr>
      <w:r>
        <w:rPr>
          <w:rFonts w:ascii="CESI仿宋-GB2312" w:hAnsi="CESI仿宋-GB2312" w:cs="CESI仿宋-GB2312" w:hint="eastAsia" w:eastAsia="CESI仿宋-GB2312"/>
          <w:kern w:val="2"/>
          <w:sz w:val="32"/>
          <w:szCs w:val="32"/>
          <w:lang w:bidi="ar"/>
        </w:rPr>
        <w:t>（八）新闻出版、电影、网信、党史研究、发展改革、民族宗教、公安、民政、财政、人力资源和社会保障、生态环境、城市管理、交通、农业农村、应急管理、国有资产监督管理、统计、地方志等部门按照各自职责，开展红色资源保护传承相关管理、宣传、指导工作。</w:t>
      </w:r>
    </w:p>
    <w:p>
      <w:pPr>
        <w:pStyle w:val="Normal"/>
        <w:keepNext w:val="false"/>
        <w:keepLines w:val="false"/>
        <w:pageBreakBefore w:val="false"/>
        <w:kinsoku w:val="true"/>
        <w:bidi w:val="0"/>
        <w:snapToGrid w:val="false"/>
        <w:spacing w:lineRule="exact" w:line="594"/>
        <w:ind w:firstLineChars="200" w:startChars="0" w:start="0" w:endChars="0" w:end="0"/>
        <w:textAlignment w:val="auto"/>
        <w:rPr>
          <w:rFonts w:ascii="CESI仿宋-GB2312" w:hAnsi="CESI仿宋-GB2312" w:eastAsia="CESI仿宋-GB2312" w:cs="CESI仿宋-GB2312" w:hint="eastAsia"/>
          <w:color w:val="000000"/>
          <w:sz w:val="32"/>
          <w:szCs w:val="32"/>
        </w:rPr>
      </w:pPr>
      <w:r>
        <w:rPr>
          <w:rFonts w:ascii="CESI仿宋-GB2312" w:hAnsi="CESI仿宋-GB2312" w:cs="CESI仿宋-GB2312" w:hint="eastAsia" w:eastAsia="CESI仿宋-GB2312"/>
          <w:kern w:val="2"/>
          <w:sz w:val="32"/>
          <w:szCs w:val="32"/>
          <w:lang w:bidi="ar"/>
        </w:rPr>
        <w:t>工会、共青团、妇联等群团组织应当结合各自优势，组织开展红色资源保护传承相关工作。</w:t>
      </w:r>
    </w:p>
    <w:p>
      <w:pPr>
        <w:pStyle w:val="Normal"/>
        <w:keepNext w:val="false"/>
        <w:keepLines w:val="false"/>
        <w:pageBreakBefore w:val="false"/>
        <w:kinsoku w:val="true"/>
        <w:bidi w:val="0"/>
        <w:snapToGrid w:val="false"/>
        <w:spacing w:lineRule="exact" w:line="594"/>
        <w:ind w:firstLineChars="200" w:startChars="0" w:start="0" w:endChars="0" w:end="0"/>
        <w:textAlignment w:val="auto"/>
        <w:rPr>
          <w:rFonts w:ascii="CESI仿宋-GB2312" w:hAnsi="CESI仿宋-GB2312" w:eastAsia="CESI仿宋-GB2312" w:cs="CESI仿宋-GB2312" w:hint="eastAsia"/>
          <w:sz w:val="32"/>
          <w:szCs w:val="32"/>
          <w:lang w:bidi="ar"/>
        </w:rPr>
      </w:pPr>
      <w:r>
        <w:rPr>
          <w:rFonts w:ascii="黑体" w:hAnsi="黑体" w:cs="宋体;方正书宋_GBK" w:hint="eastAsia" w:eastAsia="黑体"/>
          <w:spacing w:val="-8"/>
          <w:kern w:val="0"/>
          <w:sz w:val="32"/>
          <w:szCs w:val="32"/>
        </w:rPr>
        <w:t>第七条</w:t>
      </w:r>
      <w:r>
        <w:rPr>
          <w:rFonts w:ascii="CESI仿宋-GB2312" w:hAnsi="CESI仿宋-GB2312" w:cs="CESI仿宋-GB2312" w:hint="eastAsia" w:eastAsia="CESI仿宋-GB2312"/>
          <w:sz w:val="32"/>
          <w:szCs w:val="32"/>
          <w:lang w:bidi="ar"/>
        </w:rPr>
        <w:t xml:space="preserve">  市文化和旅游部门应当会同退役军人事务、</w:t>
      </w:r>
      <w:r>
        <w:rPr>
          <w:rFonts w:ascii="CESI仿宋-GB2312" w:hAnsi="CESI仿宋-GB2312" w:cs="CESI仿宋-GB2312" w:hint="eastAsia" w:eastAsia="CESI仿宋-GB2312"/>
          <w:color w:val="000000"/>
          <w:sz w:val="32"/>
          <w:szCs w:val="32"/>
          <w:lang w:bidi="ar"/>
        </w:rPr>
        <w:t>党史研究、档案等部门定期开展或者根</w:t>
      </w:r>
      <w:r>
        <w:rPr>
          <w:rFonts w:ascii="CESI仿宋-GB2312" w:hAnsi="CESI仿宋-GB2312" w:cs="CESI仿宋-GB2312" w:hint="eastAsia" w:eastAsia="CESI仿宋-GB2312"/>
          <w:sz w:val="32"/>
          <w:szCs w:val="32"/>
          <w:lang w:bidi="ar"/>
        </w:rPr>
        <w:t>据自然人、法人和其他组织的申请开展红色资源调查，拟定红色资源名录的建议名单。建议名单经专家评审、联席会议审核后，由市文化和旅游部门报市人民政府审定，并及时向社会公布。</w:t>
      </w:r>
    </w:p>
    <w:p>
      <w:pPr>
        <w:pStyle w:val="Normal"/>
        <w:keepNext w:val="false"/>
        <w:keepLines w:val="false"/>
        <w:pageBreakBefore w:val="false"/>
        <w:kinsoku w:val="true"/>
        <w:bidi w:val="0"/>
        <w:snapToGrid w:val="false"/>
        <w:spacing w:lineRule="exact" w:line="594"/>
        <w:ind w:firstLineChars="200" w:startChars="0" w:start="0" w:endChars="0" w:end="0"/>
        <w:textAlignment w:val="auto"/>
        <w:rPr>
          <w:rFonts w:ascii="CESI仿宋-GB2312" w:hAnsi="CESI仿宋-GB2312" w:eastAsia="CESI仿宋-GB2312" w:cs="CESI仿宋-GB2312" w:hint="eastAsia"/>
          <w:sz w:val="32"/>
          <w:szCs w:val="32"/>
          <w:lang w:bidi="ar"/>
        </w:rPr>
      </w:pPr>
      <w:r>
        <w:rPr>
          <w:rFonts w:ascii="CESI仿宋-GB2312" w:hAnsi="CESI仿宋-GB2312" w:cs="CESI仿宋-GB2312" w:hint="eastAsia" w:eastAsia="CESI仿宋-GB2312"/>
          <w:sz w:val="32"/>
          <w:szCs w:val="32"/>
          <w:lang w:bidi="ar"/>
        </w:rPr>
        <w:t>红色资源名录应当载明红色资源的名称、类型、历史价值、产权归属、保护责任和保护责任人等内容，不可移动红色资源还应当标注地理坐标等信息。</w:t>
      </w:r>
    </w:p>
    <w:p>
      <w:pPr>
        <w:pStyle w:val="Normal"/>
        <w:keepNext w:val="false"/>
        <w:keepLines w:val="false"/>
        <w:pageBreakBefore w:val="false"/>
        <w:kinsoku w:val="true"/>
        <w:bidi w:val="0"/>
        <w:snapToGrid w:val="false"/>
        <w:spacing w:lineRule="exact" w:line="594"/>
        <w:ind w:firstLineChars="200" w:startChars="0" w:start="0" w:endChars="0" w:end="0"/>
        <w:textAlignment w:val="auto"/>
        <w:rPr>
          <w:rFonts w:ascii="CESI仿宋-GB2312" w:hAnsi="CESI仿宋-GB2312" w:eastAsia="CESI仿宋-GB2312" w:cs="CESI仿宋-GB2312" w:hint="eastAsia"/>
          <w:sz w:val="32"/>
          <w:szCs w:val="32"/>
          <w:lang w:bidi="ar"/>
        </w:rPr>
      </w:pPr>
      <w:r>
        <w:rPr>
          <w:rFonts w:ascii="CESI仿宋-GB2312" w:hAnsi="CESI仿宋-GB2312" w:cs="CESI仿宋-GB2312" w:hint="eastAsia" w:eastAsia="CESI仿宋-GB2312"/>
          <w:sz w:val="32"/>
          <w:szCs w:val="32"/>
          <w:lang w:bidi="ar"/>
        </w:rPr>
        <w:t>市文化和旅游部门应当会同有关部门组建专家委员会，并依据红色资源名录建立红色资源数据库，对红色资源进行数字化管理，实现数据统一和共享。</w:t>
      </w:r>
    </w:p>
    <w:p>
      <w:pPr>
        <w:pStyle w:val="Normal"/>
        <w:keepNext w:val="false"/>
        <w:keepLines w:val="false"/>
        <w:pageBreakBefore w:val="false"/>
        <w:kinsoku w:val="true"/>
        <w:bidi w:val="0"/>
        <w:snapToGrid w:val="false"/>
        <w:spacing w:lineRule="exact" w:line="594"/>
        <w:ind w:firstLineChars="200" w:startChars="0" w:start="0" w:endChars="0" w:end="0"/>
        <w:textAlignment w:val="auto"/>
        <w:rPr>
          <w:rFonts w:ascii="CESI仿宋-GB2312" w:hAnsi="CESI仿宋-GB2312" w:eastAsia="CESI仿宋-GB2312" w:cs="CESI仿宋-GB2312" w:hint="eastAsia"/>
          <w:color w:val="000000"/>
          <w:sz w:val="32"/>
          <w:szCs w:val="32"/>
        </w:rPr>
      </w:pPr>
      <w:r>
        <w:rPr>
          <w:rFonts w:ascii="CESI仿宋-GB2312" w:hAnsi="CESI仿宋-GB2312" w:cs="CESI仿宋-GB2312" w:hint="eastAsia" w:eastAsia="CESI仿宋-GB2312"/>
          <w:sz w:val="32"/>
          <w:szCs w:val="32"/>
          <w:lang w:bidi="ar"/>
        </w:rPr>
        <w:t>红色资源调查认定的具体办法由市人民政府制定。</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CESI仿宋-GB2312" w:hAnsi="CESI仿宋-GB2312" w:eastAsia="CESI仿宋-GB2312" w:cs="CESI仿宋-GB2312" w:hint="eastAsia"/>
          <w:sz w:val="32"/>
          <w:szCs w:val="32"/>
          <w:lang w:bidi="ar"/>
        </w:rPr>
      </w:pPr>
      <w:r>
        <w:rPr>
          <w:rFonts w:ascii="黑体" w:hAnsi="黑体" w:cs="宋体;方正书宋_GBK" w:hint="eastAsia" w:eastAsia="黑体"/>
          <w:spacing w:val="0"/>
          <w:kern w:val="0"/>
          <w:sz w:val="32"/>
          <w:szCs w:val="32"/>
        </w:rPr>
        <w:t>第八条</w:t>
      </w:r>
      <w:r>
        <w:rPr>
          <w:rFonts w:ascii="CESI仿宋-GB2312" w:hAnsi="CESI仿宋-GB2312" w:cs="CESI仿宋-GB2312" w:hint="eastAsia" w:eastAsia="CESI仿宋-GB2312"/>
          <w:spacing w:val="0"/>
          <w:sz w:val="32"/>
          <w:szCs w:val="32"/>
          <w:lang w:bidi="ar"/>
        </w:rPr>
        <w:t xml:space="preserve">  红色资源所有人或者使用人为红色资源保护责任人。红色资源权属不明确的，由区县（自治县）人民政府指定其所在地乡（镇）人民政</w:t>
      </w:r>
      <w:r>
        <w:rPr>
          <w:rFonts w:ascii="CESI仿宋-GB2312" w:hAnsi="CESI仿宋-GB2312" w:cs="CESI仿宋-GB2312" w:hint="eastAsia" w:eastAsia="CESI仿宋-GB2312"/>
          <w:sz w:val="32"/>
          <w:szCs w:val="32"/>
          <w:lang w:bidi="ar"/>
        </w:rPr>
        <w:t>府、街道办事处或者相关自然人、法人、非法人组织担任红色资源保护责任人；两个以上区县（自治县）人民政府对红色资源权属有争议的，由市人民政府指定。</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CESI仿宋-GB2312" w:hAnsi="CESI仿宋-GB2312" w:eastAsia="CESI仿宋-GB2312" w:cs="CESI仿宋-GB2312" w:hint="eastAsia"/>
          <w:sz w:val="32"/>
          <w:szCs w:val="32"/>
          <w:lang w:bidi="ar"/>
        </w:rPr>
      </w:pPr>
      <w:r>
        <w:rPr>
          <w:rFonts w:ascii="CESI仿宋-GB2312" w:hAnsi="CESI仿宋-GB2312" w:cs="CESI仿宋-GB2312" w:hint="eastAsia" w:eastAsia="CESI仿宋-GB2312"/>
          <w:sz w:val="32"/>
          <w:szCs w:val="32"/>
          <w:lang w:bidi="ar"/>
        </w:rPr>
        <w:t>鼓励符合条件的公民、法人和非法人组织，在不改变红色资源权属的情况下，通过与红色资源工作部门、红色资源所有人或者使用人依法签订保护协议的方式，成为红色资源保护责任人。</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CESI仿宋-GB2312" w:hAnsi="CESI仿宋-GB2312" w:eastAsia="CESI仿宋-GB2312" w:cs="CESI仿宋-GB2312" w:hint="eastAsia"/>
          <w:color w:val="000000"/>
          <w:sz w:val="32"/>
          <w:szCs w:val="32"/>
        </w:rPr>
      </w:pPr>
      <w:r>
        <w:rPr>
          <w:rFonts w:ascii="CESI仿宋-GB2312" w:hAnsi="CESI仿宋-GB2312" w:cs="CESI仿宋-GB2312" w:hint="eastAsia" w:eastAsia="CESI仿宋-GB2312"/>
          <w:sz w:val="32"/>
          <w:szCs w:val="32"/>
          <w:lang w:bidi="ar"/>
        </w:rPr>
        <w:t>红色资源所有人或者使用人丧</w:t>
      </w:r>
      <w:r>
        <w:rPr>
          <w:rFonts w:ascii="CESI仿宋-GB2312" w:hAnsi="CESI仿宋-GB2312" w:cs="CESI仿宋-GB2312" w:hint="eastAsia" w:eastAsia="CESI仿宋-GB2312"/>
          <w:kern w:val="2"/>
          <w:sz w:val="32"/>
          <w:szCs w:val="32"/>
          <w:lang w:bidi="ar"/>
        </w:rPr>
        <w:t>失保护能力或者不愿意履行保护责任的，市、区县（自治县）人民政府可以依法通过购买、置换、租赁、补偿或者接受捐赠等方式，变更红</w:t>
      </w:r>
      <w:r>
        <w:rPr>
          <w:rFonts w:ascii="CESI仿宋-GB2312" w:hAnsi="CESI仿宋-GB2312" w:cs="CESI仿宋-GB2312" w:hint="eastAsia" w:eastAsia="CESI仿宋-GB2312"/>
          <w:sz w:val="32"/>
          <w:szCs w:val="32"/>
          <w:lang w:bidi="ar"/>
        </w:rPr>
        <w:t>色资源的所有权或者使用权，并重新确定保护责任人。</w:t>
      </w:r>
    </w:p>
    <w:p>
      <w:pPr>
        <w:pStyle w:val="Normal"/>
        <w:keepNext w:val="false"/>
        <w:keepLines w:val="false"/>
        <w:pageBreakBefore w:val="false"/>
        <w:kinsoku w:val="true"/>
        <w:bidi w:val="0"/>
        <w:snapToGrid w:val="false"/>
        <w:spacing w:lineRule="exact" w:line="594"/>
        <w:ind w:firstLineChars="200" w:startChars="0" w:start="0" w:endChars="0" w:end="0"/>
        <w:textAlignment w:val="auto"/>
        <w:rPr>
          <w:rFonts w:ascii="CESI仿宋-GB2312" w:hAnsi="CESI仿宋-GB2312" w:eastAsia="CESI仿宋-GB2312" w:cs="CESI仿宋-GB2312" w:hint="eastAsia"/>
          <w:sz w:val="32"/>
          <w:szCs w:val="32"/>
          <w:lang w:bidi="ar"/>
        </w:rPr>
      </w:pPr>
      <w:r>
        <w:rPr>
          <w:rFonts w:ascii="黑体" w:hAnsi="黑体" w:cs="宋体;方正书宋_GBK" w:hint="eastAsia" w:eastAsia="黑体"/>
          <w:spacing w:val="-8"/>
          <w:kern w:val="0"/>
          <w:sz w:val="32"/>
          <w:szCs w:val="32"/>
        </w:rPr>
        <w:t>第九条</w:t>
      </w:r>
      <w:r>
        <w:rPr>
          <w:rFonts w:ascii="CESI仿宋-GB2312" w:hAnsi="CESI仿宋-GB2312" w:cs="CESI仿宋-GB2312" w:hint="eastAsia" w:eastAsia="CESI仿宋-GB2312"/>
          <w:sz w:val="32"/>
          <w:szCs w:val="32"/>
          <w:lang w:bidi="ar"/>
        </w:rPr>
        <w:t xml:space="preserve">  根据保护工作的实际需要，市、区县（自治县）人民政府可以对不可移动红色资源划定必要的保护范围，并予以公布。文化和旅游、退役军人事务等部门应当及时在保护范围内设置保护标识。</w:t>
      </w:r>
    </w:p>
    <w:p>
      <w:pPr>
        <w:pStyle w:val="Normal"/>
        <w:keepNext w:val="false"/>
        <w:keepLines w:val="false"/>
        <w:pageBreakBefore w:val="false"/>
        <w:kinsoku w:val="true"/>
        <w:bidi w:val="0"/>
        <w:snapToGrid w:val="false"/>
        <w:spacing w:lineRule="exact" w:line="594"/>
        <w:ind w:firstLineChars="200" w:startChars="0" w:start="0" w:endChars="0" w:end="0"/>
        <w:textAlignment w:val="auto"/>
        <w:rPr>
          <w:rFonts w:ascii="CESI仿宋-GB2312" w:hAnsi="CESI仿宋-GB2312" w:eastAsia="CESI仿宋-GB2312" w:cs="CESI仿宋-GB2312" w:hint="eastAsia"/>
          <w:color w:val="000000"/>
          <w:kern w:val="0"/>
          <w:sz w:val="32"/>
          <w:szCs w:val="32"/>
        </w:rPr>
      </w:pPr>
      <w:r>
        <w:rPr>
          <w:rFonts w:ascii="CESI仿宋-GB2312" w:hAnsi="CESI仿宋-GB2312" w:cs="CESI仿宋-GB2312" w:hint="eastAsia" w:eastAsia="CESI仿宋-GB2312"/>
          <w:sz w:val="32"/>
          <w:szCs w:val="32"/>
          <w:lang w:bidi="ar"/>
        </w:rPr>
        <w:t>在保护范围内进行建设工程或者爆破、钻探、挖掘等作业，应当保证红色资源不受损害，并确保建设工程与红色资源的历史风貌相协调。</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CESI仿宋-GB2312" w:hAnsi="CESI仿宋-GB2312" w:eastAsia="CESI仿宋-GB2312" w:cs="CESI仿宋-GB2312" w:hint="eastAsia"/>
          <w:sz w:val="32"/>
          <w:szCs w:val="32"/>
          <w:lang w:bidi="ar"/>
        </w:rPr>
      </w:pPr>
      <w:r>
        <w:rPr>
          <w:rFonts w:ascii="黑体" w:hAnsi="黑体" w:cs="宋体;方正书宋_GBK" w:hint="eastAsia" w:eastAsia="黑体"/>
          <w:spacing w:val="-8"/>
          <w:kern w:val="0"/>
          <w:sz w:val="32"/>
          <w:szCs w:val="32"/>
        </w:rPr>
        <w:t>第十条</w:t>
      </w:r>
      <w:r>
        <w:rPr>
          <w:rFonts w:ascii="CESI仿宋-GB2312" w:hAnsi="CESI仿宋-GB2312" w:cs="CESI仿宋-GB2312" w:hint="eastAsia" w:eastAsia="CESI仿宋-GB2312"/>
          <w:sz w:val="32"/>
          <w:szCs w:val="32"/>
          <w:lang w:bidi="ar"/>
        </w:rPr>
        <w:t xml:space="preserve">  不可移动红色资源原则上实行原址保护。建设工程选址，应当尽可能避开不可移动红色资源；因特殊情况不能避开的，建设单位应当对红色资源尽可能实施原址保护并事先确定保护措施。</w:t>
      </w:r>
    </w:p>
    <w:p>
      <w:pPr>
        <w:pStyle w:val="Normal"/>
        <w:keepNext w:val="false"/>
        <w:keepLines w:val="false"/>
        <w:pageBreakBefore w:val="false"/>
        <w:kinsoku w:val="true"/>
        <w:bidi w:val="0"/>
        <w:snapToGrid w:val="false"/>
        <w:spacing w:lineRule="exact" w:line="594"/>
        <w:ind w:firstLineChars="200" w:startChars="0" w:start="0" w:endChars="0" w:end="0"/>
        <w:textAlignment w:val="auto"/>
        <w:rPr>
          <w:rFonts w:ascii="CESI仿宋-GB2312" w:hAnsi="CESI仿宋-GB2312" w:eastAsia="CESI仿宋-GB2312" w:cs="CESI仿宋-GB2312" w:hint="eastAsia"/>
          <w:sz w:val="32"/>
          <w:szCs w:val="32"/>
          <w:lang w:bidi="ar"/>
        </w:rPr>
      </w:pPr>
      <w:r>
        <w:rPr>
          <w:rFonts w:ascii="CESI仿宋-GB2312" w:hAnsi="CESI仿宋-GB2312" w:cs="CESI仿宋-GB2312" w:hint="eastAsia" w:eastAsia="CESI仿宋-GB2312"/>
          <w:sz w:val="32"/>
          <w:szCs w:val="32"/>
          <w:lang w:bidi="ar"/>
        </w:rPr>
        <w:t>无法实施原址保护、必须迁移异地保护或者拆除的，应当报红色资源所在地区县（自治县）人民政府批准，并报市人民政府备案。</w:t>
      </w:r>
    </w:p>
    <w:p>
      <w:pPr>
        <w:pStyle w:val="Normal"/>
        <w:keepNext w:val="false"/>
        <w:keepLines w:val="false"/>
        <w:pageBreakBefore w:val="false"/>
        <w:kinsoku w:val="true"/>
        <w:bidi w:val="0"/>
        <w:snapToGrid w:val="false"/>
        <w:spacing w:lineRule="exact" w:line="594"/>
        <w:ind w:firstLineChars="200" w:startChars="0" w:start="0" w:endChars="0" w:end="0"/>
        <w:textAlignment w:val="auto"/>
        <w:rPr>
          <w:rFonts w:ascii="CESI仿宋-GB2312" w:hAnsi="CESI仿宋-GB2312" w:eastAsia="CESI仿宋-GB2312" w:cs="CESI仿宋-GB2312" w:hint="eastAsia"/>
          <w:kern w:val="2"/>
          <w:sz w:val="32"/>
          <w:szCs w:val="32"/>
          <w:lang w:bidi="ar"/>
        </w:rPr>
      </w:pPr>
      <w:r>
        <w:rPr>
          <w:rFonts w:ascii="CESI仿宋-GB2312" w:hAnsi="CESI仿宋-GB2312" w:cs="CESI仿宋-GB2312" w:hint="eastAsia" w:eastAsia="CESI仿宋-GB2312"/>
          <w:sz w:val="32"/>
          <w:szCs w:val="32"/>
          <w:lang w:bidi="ar"/>
        </w:rPr>
        <w:t>依照前款拆除的国有不可移动红色资源中具有历史价值、教育意义、纪念意义的档案、文献、手稿、实物等，由区县（自治县）红色资源工作部门指定收藏单位收藏。收藏单</w:t>
      </w:r>
      <w:r>
        <w:rPr>
          <w:rFonts w:ascii="CESI仿宋-GB2312" w:hAnsi="CESI仿宋-GB2312" w:cs="CESI仿宋-GB2312" w:hint="eastAsia" w:eastAsia="CESI仿宋-GB2312"/>
          <w:kern w:val="2"/>
          <w:sz w:val="32"/>
          <w:szCs w:val="32"/>
          <w:lang w:bidi="ar"/>
        </w:rPr>
        <w:t>位应当妥善开展收藏、保管、研究和展示等工作。</w:t>
      </w:r>
    </w:p>
    <w:p>
      <w:pPr>
        <w:pStyle w:val="Normal"/>
        <w:keepNext w:val="false"/>
        <w:keepLines w:val="false"/>
        <w:pageBreakBefore w:val="false"/>
        <w:kinsoku w:val="true"/>
        <w:bidi w:val="0"/>
        <w:snapToGrid w:val="false"/>
        <w:spacing w:lineRule="exact" w:line="594"/>
        <w:ind w:firstLineChars="200" w:startChars="0" w:start="0" w:endChars="0" w:end="0"/>
        <w:textAlignment w:val="auto"/>
        <w:rPr>
          <w:rFonts w:ascii="CESI仿宋-GB2312" w:hAnsi="CESI仿宋-GB2312" w:eastAsia="CESI仿宋-GB2312" w:cs="CESI仿宋-GB2312" w:hint="eastAsia"/>
          <w:color w:val="000000"/>
          <w:sz w:val="32"/>
          <w:szCs w:val="32"/>
        </w:rPr>
      </w:pPr>
      <w:r>
        <w:rPr>
          <w:rFonts w:ascii="CESI仿宋-GB2312" w:hAnsi="CESI仿宋-GB2312" w:cs="CESI仿宋-GB2312" w:hint="eastAsia" w:eastAsia="CESI仿宋-GB2312"/>
          <w:sz w:val="32"/>
          <w:szCs w:val="32"/>
          <w:lang w:bidi="ar"/>
        </w:rPr>
        <w:t>本条规定的原址保护、迁移、拆除所需费用由建设单位列入建设工程预算。</w:t>
      </w:r>
    </w:p>
    <w:p>
      <w:pPr>
        <w:pStyle w:val="Normal"/>
        <w:keepNext w:val="false"/>
        <w:keepLines w:val="false"/>
        <w:pageBreakBefore w:val="false"/>
        <w:kinsoku w:val="true"/>
        <w:bidi w:val="0"/>
        <w:snapToGrid w:val="false"/>
        <w:spacing w:lineRule="exact" w:line="594"/>
        <w:ind w:firstLineChars="200" w:startChars="0" w:start="0" w:endChars="0" w:end="0"/>
        <w:textAlignment w:val="auto"/>
        <w:rPr>
          <w:rFonts w:ascii="CESI仿宋-GB2312" w:hAnsi="CESI仿宋-GB2312" w:eastAsia="CESI仿宋-GB2312" w:cs="CESI仿宋-GB2312" w:hint="eastAsia"/>
          <w:sz w:val="32"/>
          <w:szCs w:val="32"/>
          <w:lang w:bidi="ar"/>
        </w:rPr>
      </w:pPr>
      <w:r>
        <w:rPr>
          <w:rFonts w:ascii="黑体" w:hAnsi="黑体" w:cs="宋体;方正书宋_GBK" w:hint="eastAsia" w:eastAsia="黑体"/>
          <w:spacing w:val="-8"/>
          <w:kern w:val="0"/>
          <w:sz w:val="32"/>
          <w:szCs w:val="32"/>
        </w:rPr>
        <w:t>第十一条</w:t>
      </w:r>
      <w:r>
        <w:rPr>
          <w:rFonts w:ascii="CESI仿宋-GB2312" w:hAnsi="CESI仿宋-GB2312" w:cs="CESI仿宋-GB2312" w:hint="eastAsia" w:eastAsia="CESI仿宋-GB2312"/>
          <w:sz w:val="32"/>
          <w:szCs w:val="32"/>
          <w:lang w:bidi="ar"/>
        </w:rPr>
        <w:t xml:space="preserve">  修缮不可移动红色资源应当保持原状，不得损毁、改变主体结构及其附属设施。修缮费用由保护责任人筹集。保护责任人欠缺修缮能力的，市、区县（自治县）人民政府可以给予支持。</w:t>
      </w:r>
    </w:p>
    <w:p>
      <w:pPr>
        <w:pStyle w:val="Normal"/>
        <w:keepNext w:val="false"/>
        <w:keepLines w:val="false"/>
        <w:pageBreakBefore w:val="false"/>
        <w:kinsoku w:val="true"/>
        <w:bidi w:val="0"/>
        <w:snapToGrid w:val="false"/>
        <w:spacing w:lineRule="exact" w:line="594"/>
        <w:ind w:firstLineChars="200" w:startChars="0" w:start="0" w:endChars="0" w:end="0"/>
        <w:textAlignment w:val="auto"/>
        <w:rPr>
          <w:rFonts w:ascii="CESI仿宋-GB2312" w:hAnsi="CESI仿宋-GB2312" w:eastAsia="CESI仿宋-GB2312" w:cs="CESI仿宋-GB2312" w:hint="eastAsia"/>
          <w:color w:val="000000"/>
          <w:sz w:val="32"/>
          <w:szCs w:val="32"/>
        </w:rPr>
      </w:pPr>
      <w:r>
        <w:rPr>
          <w:rFonts w:ascii="CESI仿宋-GB2312" w:hAnsi="CESI仿宋-GB2312" w:cs="CESI仿宋-GB2312" w:hint="eastAsia" w:eastAsia="CESI仿宋-GB2312"/>
          <w:sz w:val="32"/>
          <w:szCs w:val="32"/>
          <w:lang w:bidi="ar"/>
        </w:rPr>
        <w:t>不可移动红色资源保护责任人应当制定保护管理规章制度和应急预案，落实保护措施，开展日常巡查、保养维护、监测评估和应急演练，发现重大险情或者隐患，立即向管理部门报告并及时采取相应抢救保护措施。</w:t>
      </w:r>
    </w:p>
    <w:p>
      <w:pPr>
        <w:pStyle w:val="Normal"/>
        <w:keepNext w:val="false"/>
        <w:keepLines w:val="false"/>
        <w:pageBreakBefore w:val="false"/>
        <w:kinsoku w:val="true"/>
        <w:bidi w:val="0"/>
        <w:snapToGrid w:val="false"/>
        <w:spacing w:lineRule="exact" w:line="594"/>
        <w:ind w:firstLineChars="200" w:startChars="0" w:start="0" w:endChars="0" w:end="0"/>
        <w:textAlignment w:val="auto"/>
        <w:rPr>
          <w:rFonts w:ascii="CESI仿宋-GB2312" w:hAnsi="CESI仿宋-GB2312" w:eastAsia="CESI仿宋-GB2312" w:cs="CESI仿宋-GB2312" w:hint="eastAsia"/>
          <w:sz w:val="32"/>
          <w:szCs w:val="32"/>
        </w:rPr>
      </w:pPr>
      <w:r>
        <w:rPr>
          <w:rFonts w:ascii="黑体" w:hAnsi="黑体" w:cs="宋体;方正书宋_GBK" w:hint="eastAsia" w:eastAsia="黑体"/>
          <w:spacing w:val="-8"/>
          <w:kern w:val="0"/>
          <w:sz w:val="32"/>
          <w:szCs w:val="32"/>
        </w:rPr>
        <w:t>第十二条</w:t>
      </w:r>
      <w:r>
        <w:rPr>
          <w:rFonts w:ascii="CESI仿宋-GB2312" w:hAnsi="CESI仿宋-GB2312" w:cs="CESI仿宋-GB2312" w:hint="eastAsia" w:eastAsia="CESI仿宋-GB2312"/>
          <w:sz w:val="32"/>
          <w:szCs w:val="32"/>
          <w:lang w:bidi="ar"/>
        </w:rPr>
        <w:t xml:space="preserve">  对国家所有的档案、文献、声像资料、实物等可移动红色资源，保护责任人应当建立接收、鉴定、登记、编目、档案制度，库房管理制度，出入库、注销和统计制度，保养、修复和复制制度。</w:t>
      </w:r>
    </w:p>
    <w:p>
      <w:pPr>
        <w:pStyle w:val="Normal"/>
        <w:keepNext w:val="false"/>
        <w:keepLines w:val="false"/>
        <w:pageBreakBefore w:val="false"/>
        <w:kinsoku w:val="true"/>
        <w:bidi w:val="0"/>
        <w:snapToGrid w:val="false"/>
        <w:spacing w:lineRule="exact" w:line="594"/>
        <w:ind w:firstLineChars="200" w:startChars="0" w:start="0" w:endChars="0" w:end="0"/>
        <w:textAlignment w:val="auto"/>
        <w:rPr>
          <w:rFonts w:ascii="CESI仿宋-GB2312" w:hAnsi="CESI仿宋-GB2312" w:eastAsia="CESI仿宋-GB2312" w:cs="CESI仿宋-GB2312" w:hint="eastAsia"/>
          <w:kern w:val="2"/>
          <w:sz w:val="32"/>
          <w:szCs w:val="32"/>
          <w:lang w:bidi="ar"/>
        </w:rPr>
      </w:pPr>
      <w:r>
        <w:rPr>
          <w:rFonts w:ascii="CESI仿宋-GB2312" w:hAnsi="CESI仿宋-GB2312" w:cs="CESI仿宋-GB2312" w:hint="eastAsia" w:eastAsia="CESI仿宋-GB2312"/>
          <w:sz w:val="32"/>
          <w:szCs w:val="32"/>
          <w:lang w:bidi="ar"/>
        </w:rPr>
        <w:t>对非国家所有的可移动红色资源</w:t>
      </w:r>
      <w:r>
        <w:rPr>
          <w:rFonts w:ascii="CESI仿宋-GB2312" w:hAnsi="CESI仿宋-GB2312" w:cs="CESI仿宋-GB2312" w:hint="eastAsia" w:eastAsia="CESI仿宋-GB2312"/>
          <w:kern w:val="2"/>
          <w:sz w:val="32"/>
          <w:szCs w:val="32"/>
          <w:lang w:bidi="ar"/>
        </w:rPr>
        <w:t>，保护责任人可以要求有关部门提供鉴定、修复、保管等方面的咨询服务，必要时可以委托其他具备条件的保护责任人保管。</w:t>
      </w:r>
    </w:p>
    <w:p>
      <w:pPr>
        <w:pStyle w:val="Normal"/>
        <w:keepNext w:val="false"/>
        <w:keepLines w:val="false"/>
        <w:pageBreakBefore w:val="false"/>
        <w:kinsoku w:val="true"/>
        <w:bidi w:val="0"/>
        <w:snapToGrid w:val="false"/>
        <w:spacing w:lineRule="exact" w:line="594"/>
        <w:ind w:firstLineChars="200" w:startChars="0" w:start="0" w:endChars="0" w:end="0"/>
        <w:textAlignment w:val="auto"/>
        <w:rPr>
          <w:rFonts w:ascii="CESI仿宋-GB2312" w:hAnsi="CESI仿宋-GB2312" w:eastAsia="CESI仿宋-GB2312" w:cs="CESI仿宋-GB2312" w:hint="eastAsia"/>
          <w:sz w:val="32"/>
          <w:szCs w:val="32"/>
          <w:lang w:bidi="ar"/>
        </w:rPr>
      </w:pPr>
      <w:r>
        <w:rPr>
          <w:rFonts w:ascii="CESI仿宋-GB2312" w:hAnsi="CESI仿宋-GB2312" w:cs="CESI仿宋-GB2312" w:hint="eastAsia" w:eastAsia="CESI仿宋-GB2312"/>
          <w:sz w:val="32"/>
          <w:szCs w:val="32"/>
          <w:lang w:bidi="ar"/>
        </w:rPr>
        <w:t>文化和旅游、退役军人事务部门应当会同档案部门、党史研究机构及相关部门，对符合红色资源认定标准的口述资料、会议记录等，开展抢救性保护和建档收藏工作。</w:t>
      </w:r>
    </w:p>
    <w:p>
      <w:pPr>
        <w:pStyle w:val="Normal"/>
        <w:keepNext w:val="false"/>
        <w:keepLines w:val="false"/>
        <w:pageBreakBefore w:val="false"/>
        <w:kinsoku w:val="true"/>
        <w:bidi w:val="0"/>
        <w:snapToGrid w:val="false"/>
        <w:spacing w:lineRule="exact" w:line="594"/>
        <w:ind w:firstLineChars="200" w:startChars="0" w:start="0" w:endChars="0" w:end="0"/>
        <w:textAlignment w:val="auto"/>
        <w:rPr>
          <w:rFonts w:ascii="CESI仿宋-GB2312" w:hAnsi="CESI仿宋-GB2312" w:eastAsia="CESI仿宋-GB2312" w:cs="CESI仿宋-GB2312" w:hint="eastAsia"/>
          <w:color w:val="000000"/>
          <w:sz w:val="32"/>
          <w:szCs w:val="32"/>
        </w:rPr>
      </w:pPr>
      <w:r>
        <w:rPr>
          <w:rFonts w:ascii="CESI仿宋-GB2312" w:hAnsi="CESI仿宋-GB2312" w:cs="CESI仿宋-GB2312" w:hint="eastAsia" w:eastAsia="CESI仿宋-GB2312"/>
          <w:sz w:val="32"/>
          <w:szCs w:val="32"/>
          <w:lang w:bidi="ar"/>
        </w:rPr>
        <w:t>可移动红色资源保护责任人应当对各类可移动红色资源进行电子信息采集存储，并纳入全市统筹建立的红色资源数据库实现永续保护。</w:t>
      </w:r>
    </w:p>
    <w:p>
      <w:pPr>
        <w:pStyle w:val="Normal"/>
        <w:keepNext w:val="false"/>
        <w:keepLines w:val="false"/>
        <w:pageBreakBefore w:val="false"/>
        <w:kinsoku w:val="true"/>
        <w:bidi w:val="0"/>
        <w:snapToGrid w:val="false"/>
        <w:spacing w:lineRule="exact" w:line="594"/>
        <w:ind w:firstLineChars="200" w:startChars="0" w:start="0" w:endChars="0" w:end="0"/>
        <w:textAlignment w:val="auto"/>
        <w:rPr>
          <w:rFonts w:ascii="CESI仿宋-GB2312" w:hAnsi="CESI仿宋-GB2312" w:eastAsia="CESI仿宋-GB2312" w:cs="CESI仿宋-GB2312" w:hint="eastAsia"/>
          <w:kern w:val="2"/>
          <w:sz w:val="32"/>
          <w:szCs w:val="32"/>
          <w:lang w:bidi="ar"/>
        </w:rPr>
      </w:pPr>
      <w:r>
        <w:rPr>
          <w:rFonts w:ascii="黑体" w:hAnsi="黑体" w:cs="宋体;方正书宋_GBK" w:hint="eastAsia" w:eastAsia="黑体"/>
          <w:spacing w:val="-8"/>
          <w:kern w:val="0"/>
          <w:sz w:val="32"/>
          <w:szCs w:val="32"/>
        </w:rPr>
        <w:t>第十三条</w:t>
      </w:r>
      <w:r>
        <w:rPr>
          <w:rFonts w:ascii="CESI仿宋-GB2312" w:hAnsi="CESI仿宋-GB2312" w:cs="CESI仿宋-GB2312" w:hint="eastAsia" w:eastAsia="CESI仿宋-GB2312"/>
          <w:sz w:val="32"/>
          <w:szCs w:val="32"/>
          <w:lang w:bidi="ar"/>
        </w:rPr>
        <w:t xml:space="preserve">  任何组织和个人不得擅自设置、移动、涂污、篡改、损毁保护标识；不得涂污、破坏、损毁、侵占或者歪曲、丑化、亵渎红色资</w:t>
      </w:r>
      <w:r>
        <w:rPr>
          <w:rFonts w:ascii="CESI仿宋-GB2312" w:hAnsi="CESI仿宋-GB2312" w:cs="CESI仿宋-GB2312" w:hint="eastAsia" w:eastAsia="CESI仿宋-GB2312"/>
          <w:kern w:val="2"/>
          <w:sz w:val="32"/>
          <w:szCs w:val="32"/>
          <w:lang w:bidi="ar"/>
        </w:rPr>
        <w:t>源。</w:t>
      </w:r>
    </w:p>
    <w:p>
      <w:pPr>
        <w:pStyle w:val="Normal"/>
        <w:keepNext w:val="false"/>
        <w:keepLines w:val="false"/>
        <w:pageBreakBefore w:val="false"/>
        <w:kinsoku w:val="true"/>
        <w:bidi w:val="0"/>
        <w:snapToGrid w:val="false"/>
        <w:spacing w:lineRule="exact" w:line="594"/>
        <w:ind w:firstLineChars="200" w:startChars="0" w:start="0" w:endChars="0" w:end="0"/>
        <w:textAlignment w:val="auto"/>
        <w:rPr>
          <w:rFonts w:ascii="CESI仿宋-GB2312" w:hAnsi="CESI仿宋-GB2312" w:eastAsia="CESI仿宋-GB2312" w:cs="CESI仿宋-GB2312" w:hint="eastAsia"/>
          <w:color w:val="000000"/>
          <w:sz w:val="32"/>
          <w:szCs w:val="32"/>
        </w:rPr>
      </w:pPr>
      <w:r>
        <w:rPr>
          <w:rFonts w:ascii="CESI仿宋-GB2312" w:hAnsi="CESI仿宋-GB2312" w:cs="CESI仿宋-GB2312" w:hint="eastAsia" w:eastAsia="CESI仿宋-GB2312"/>
          <w:kern w:val="2"/>
          <w:sz w:val="32"/>
          <w:szCs w:val="32"/>
          <w:lang w:bidi="ar"/>
        </w:rPr>
        <w:t>任何组织和个人有权对违反前款规定的行为进行劝阻，并通过电话、信函、网</w:t>
      </w:r>
      <w:r>
        <w:rPr>
          <w:rFonts w:ascii="CESI仿宋-GB2312" w:hAnsi="CESI仿宋-GB2312" w:cs="CESI仿宋-GB2312" w:hint="eastAsia" w:eastAsia="CESI仿宋-GB2312"/>
          <w:sz w:val="32"/>
          <w:szCs w:val="32"/>
          <w:lang w:bidi="ar"/>
        </w:rPr>
        <w:t>络等方式投诉、举报。有关部门应当依法及时受理和处理。</w:t>
      </w:r>
    </w:p>
    <w:p>
      <w:pPr>
        <w:pStyle w:val="Normal"/>
        <w:keepNext w:val="false"/>
        <w:keepLines w:val="false"/>
        <w:pageBreakBefore w:val="false"/>
        <w:kinsoku w:val="true"/>
        <w:bidi w:val="0"/>
        <w:snapToGrid w:val="false"/>
        <w:spacing w:lineRule="exact" w:line="594"/>
        <w:ind w:firstLineChars="200" w:startChars="0" w:start="0" w:endChars="0" w:end="0"/>
        <w:textAlignment w:val="auto"/>
        <w:rPr>
          <w:rFonts w:ascii="CESI仿宋-GB2312" w:hAnsi="CESI仿宋-GB2312" w:eastAsia="CESI仿宋-GB2312" w:cs="CESI仿宋-GB2312" w:hint="eastAsia"/>
          <w:sz w:val="32"/>
          <w:szCs w:val="32"/>
          <w:lang w:bidi="ar"/>
        </w:rPr>
      </w:pPr>
      <w:r>
        <w:rPr>
          <w:rFonts w:ascii="黑体" w:hAnsi="黑体" w:cs="宋体;方正书宋_GBK" w:hint="eastAsia" w:eastAsia="黑体"/>
          <w:spacing w:val="-8"/>
          <w:kern w:val="0"/>
          <w:sz w:val="32"/>
          <w:szCs w:val="32"/>
        </w:rPr>
        <w:t xml:space="preserve">第十四条 </w:t>
      </w:r>
      <w:r>
        <w:rPr>
          <w:rFonts w:ascii="CESI仿宋-GB2312" w:hAnsi="CESI仿宋-GB2312" w:cs="CESI仿宋-GB2312" w:hint="eastAsia" w:eastAsia="CESI仿宋-GB2312"/>
          <w:sz w:val="32"/>
          <w:szCs w:val="32"/>
          <w:lang w:bidi="ar"/>
        </w:rPr>
        <w:t xml:space="preserve"> 本市建立红色资源联线保护传承机制，推动全市红色资源互联互通互动，在重要红色资源集中的区域规划连片保护工程，打造特色红色资源保护传承示范区。</w:t>
      </w:r>
    </w:p>
    <w:p>
      <w:pPr>
        <w:pStyle w:val="Normal"/>
        <w:keepNext w:val="false"/>
        <w:keepLines w:val="false"/>
        <w:pageBreakBefore w:val="false"/>
        <w:kinsoku w:val="true"/>
        <w:bidi w:val="0"/>
        <w:snapToGrid w:val="false"/>
        <w:spacing w:lineRule="exact" w:line="594"/>
        <w:ind w:firstLineChars="200" w:startChars="0" w:start="0" w:endChars="0" w:end="0"/>
        <w:textAlignment w:val="auto"/>
        <w:rPr>
          <w:rFonts w:ascii="CESI仿宋-GB2312" w:hAnsi="CESI仿宋-GB2312" w:eastAsia="CESI仿宋-GB2312" w:cs="CESI仿宋-GB2312" w:hint="eastAsia"/>
          <w:sz w:val="32"/>
          <w:szCs w:val="32"/>
          <w:lang w:bidi="ar"/>
        </w:rPr>
      </w:pPr>
      <w:r>
        <w:rPr>
          <w:rFonts w:ascii="CESI仿宋-GB2312" w:hAnsi="CESI仿宋-GB2312" w:cs="CESI仿宋-GB2312" w:hint="eastAsia" w:eastAsia="CESI仿宋-GB2312"/>
          <w:sz w:val="32"/>
          <w:szCs w:val="32"/>
          <w:lang w:bidi="ar"/>
        </w:rPr>
        <w:t>鼓励有条件的地区建设综合性烈士陵园等红色资源设施，集中开展传承弘扬工作。</w:t>
      </w:r>
    </w:p>
    <w:p>
      <w:pPr>
        <w:pStyle w:val="Normal"/>
        <w:keepNext w:val="false"/>
        <w:keepLines w:val="false"/>
        <w:pageBreakBefore w:val="false"/>
        <w:kinsoku w:val="true"/>
        <w:bidi w:val="0"/>
        <w:snapToGrid w:val="false"/>
        <w:spacing w:lineRule="exact" w:line="594"/>
        <w:ind w:firstLineChars="200" w:startChars="0" w:start="0" w:endChars="0" w:end="0"/>
        <w:textAlignment w:val="auto"/>
        <w:rPr>
          <w:rFonts w:ascii="CESI仿宋-GB2312" w:hAnsi="CESI仿宋-GB2312" w:eastAsia="CESI仿宋-GB2312" w:cs="CESI仿宋-GB2312" w:hint="eastAsia"/>
          <w:color w:val="000000"/>
          <w:sz w:val="32"/>
          <w:szCs w:val="32"/>
        </w:rPr>
      </w:pPr>
      <w:r>
        <w:rPr>
          <w:rFonts w:ascii="CESI仿宋-GB2312" w:hAnsi="CESI仿宋-GB2312" w:cs="CESI仿宋-GB2312" w:hint="eastAsia" w:eastAsia="CESI仿宋-GB2312"/>
          <w:sz w:val="32"/>
          <w:szCs w:val="32"/>
          <w:lang w:bidi="ar"/>
        </w:rPr>
        <w:t>支持依托红色资源按照相关规定创建爱国主义教育、党性教育、党史教育、廉政教育、法治教育、国防教育等基地，建设红色资源主题公园，组织开展红色教育，发挥红色资源凝心聚力、铸魂育人的功能作用。</w:t>
      </w:r>
    </w:p>
    <w:p>
      <w:pPr>
        <w:pStyle w:val="Normal"/>
        <w:keepNext w:val="false"/>
        <w:keepLines w:val="false"/>
        <w:pageBreakBefore w:val="false"/>
        <w:kinsoku w:val="true"/>
        <w:bidi w:val="0"/>
        <w:snapToGrid w:val="false"/>
        <w:spacing w:lineRule="exact" w:line="594"/>
        <w:ind w:firstLineChars="200" w:startChars="0" w:start="0" w:endChars="0" w:end="0"/>
        <w:textAlignment w:val="auto"/>
        <w:rPr>
          <w:rFonts w:ascii="CESI仿宋-GB2312" w:hAnsi="CESI仿宋-GB2312" w:eastAsia="CESI仿宋-GB2312" w:cs="CESI仿宋-GB2312" w:hint="eastAsia"/>
          <w:sz w:val="32"/>
          <w:szCs w:val="32"/>
          <w:lang w:bidi="ar"/>
        </w:rPr>
      </w:pPr>
      <w:r>
        <w:rPr>
          <w:rFonts w:ascii="黑体" w:hAnsi="黑体" w:cs="宋体;方正书宋_GBK" w:hint="eastAsia" w:eastAsia="黑体"/>
          <w:spacing w:val="-8"/>
          <w:kern w:val="0"/>
          <w:sz w:val="32"/>
          <w:szCs w:val="32"/>
        </w:rPr>
        <w:t>第十五条</w:t>
      </w:r>
      <w:r>
        <w:rPr>
          <w:rFonts w:ascii="CESI仿宋-GB2312" w:hAnsi="CESI仿宋-GB2312" w:cs="CESI仿宋-GB2312" w:hint="eastAsia" w:eastAsia="CESI仿宋-GB2312"/>
          <w:sz w:val="32"/>
          <w:szCs w:val="32"/>
          <w:lang w:bidi="ar"/>
        </w:rPr>
        <w:t xml:space="preserve">  具备开放条件的红色遗址、旧址、纪念设施或者场所应当按照规定，免费或者优惠向公众开放，为公众提供陈列展览、展示体验等服务，并建设在线数字化展馆。档案馆、博物馆、纪念馆、党史馆、图书馆以及其他红色资源收藏单位应当利用收藏的红色资源，开展线上线下专题展览、公益讲座、媒体宣传、阅读推广等活动。</w:t>
      </w:r>
    </w:p>
    <w:p>
      <w:pPr>
        <w:pStyle w:val="Normal"/>
        <w:keepNext w:val="false"/>
        <w:keepLines w:val="false"/>
        <w:pageBreakBefore w:val="false"/>
        <w:kinsoku w:val="true"/>
        <w:bidi w:val="0"/>
        <w:snapToGrid w:val="false"/>
        <w:spacing w:lineRule="exact" w:line="594"/>
        <w:ind w:firstLineChars="200" w:startChars="0" w:start="0" w:endChars="0" w:end="0"/>
        <w:textAlignment w:val="auto"/>
        <w:rPr>
          <w:rFonts w:ascii="CESI仿宋-GB2312" w:hAnsi="CESI仿宋-GB2312" w:eastAsia="CESI仿宋-GB2312" w:cs="CESI仿宋-GB2312" w:hint="eastAsia"/>
          <w:sz w:val="32"/>
          <w:szCs w:val="32"/>
          <w:lang w:bidi="ar"/>
        </w:rPr>
      </w:pPr>
      <w:r>
        <w:rPr>
          <w:rFonts w:ascii="CESI仿宋-GB2312" w:hAnsi="CESI仿宋-GB2312" w:cs="CESI仿宋-GB2312" w:hint="eastAsia" w:eastAsia="CESI仿宋-GB2312"/>
          <w:sz w:val="32"/>
          <w:szCs w:val="32"/>
          <w:lang w:bidi="ar"/>
        </w:rPr>
        <w:t>支持红色资源保护责任人运用先进技术和互联网开展红色资源智慧展陈建设，增强展陈的生动性、互动性和体验性，打造高质量、特色化精品展陈，定期进行更新改造优化。</w:t>
      </w:r>
    </w:p>
    <w:p>
      <w:pPr>
        <w:pStyle w:val="Normal"/>
        <w:keepNext w:val="false"/>
        <w:keepLines w:val="false"/>
        <w:pageBreakBefore w:val="false"/>
        <w:kinsoku w:val="true"/>
        <w:bidi w:val="0"/>
        <w:snapToGrid w:val="false"/>
        <w:spacing w:lineRule="exact" w:line="594"/>
        <w:ind w:firstLineChars="200" w:startChars="0" w:start="0" w:endChars="0" w:end="0"/>
        <w:textAlignment w:val="auto"/>
        <w:rPr>
          <w:rFonts w:ascii="CESI仿宋-GB2312" w:hAnsi="CESI仿宋-GB2312" w:eastAsia="CESI仿宋-GB2312" w:cs="CESI仿宋-GB2312" w:hint="eastAsia"/>
          <w:sz w:val="32"/>
          <w:szCs w:val="32"/>
          <w:lang w:bidi="ar"/>
        </w:rPr>
      </w:pPr>
      <w:r>
        <w:rPr>
          <w:rFonts w:ascii="CESI仿宋-GB2312" w:hAnsi="CESI仿宋-GB2312" w:cs="CESI仿宋-GB2312" w:hint="eastAsia" w:eastAsia="CESI仿宋-GB2312"/>
          <w:sz w:val="32"/>
          <w:szCs w:val="32"/>
          <w:lang w:bidi="ar"/>
        </w:rPr>
        <w:t>支持红色资源保护责任人为红色资源展陈配备专业讲解员或者志愿讲解员，加强对讲解员的培训和监督。</w:t>
      </w:r>
    </w:p>
    <w:p>
      <w:pPr>
        <w:pStyle w:val="Normal"/>
        <w:keepNext w:val="false"/>
        <w:keepLines w:val="false"/>
        <w:pageBreakBefore w:val="false"/>
        <w:kinsoku w:val="true"/>
        <w:bidi w:val="0"/>
        <w:snapToGrid w:val="false"/>
        <w:spacing w:lineRule="exact" w:line="594"/>
        <w:ind w:firstLineChars="200" w:startChars="0" w:start="0" w:endChars="0" w:end="0"/>
        <w:textAlignment w:val="auto"/>
        <w:rPr>
          <w:rFonts w:ascii="CESI仿宋-GB2312" w:hAnsi="CESI仿宋-GB2312" w:eastAsia="CESI仿宋-GB2312" w:cs="CESI仿宋-GB2312" w:hint="eastAsia"/>
          <w:color w:val="000000"/>
          <w:sz w:val="32"/>
          <w:szCs w:val="32"/>
        </w:rPr>
      </w:pPr>
      <w:r>
        <w:rPr>
          <w:rFonts w:ascii="CESI仿宋-GB2312" w:hAnsi="CESI仿宋-GB2312" w:cs="CESI仿宋-GB2312" w:hint="eastAsia" w:eastAsia="CESI仿宋-GB2312"/>
          <w:sz w:val="32"/>
          <w:szCs w:val="32"/>
          <w:lang w:bidi="ar"/>
        </w:rPr>
        <w:t>红色资源工作部门应当加强对红色资源展陈规范化建设的指导，组织专家对红色资源解说词和展览展示内容进行审核，确保准确、完整、规范、权威。</w:t>
      </w:r>
    </w:p>
    <w:p>
      <w:pPr>
        <w:pStyle w:val="Normal"/>
        <w:keepNext w:val="false"/>
        <w:keepLines w:val="false"/>
        <w:pageBreakBefore w:val="false"/>
        <w:kinsoku w:val="true"/>
        <w:bidi w:val="0"/>
        <w:snapToGrid w:val="false"/>
        <w:spacing w:lineRule="exact" w:line="594"/>
        <w:ind w:firstLineChars="200" w:startChars="0" w:start="0" w:endChars="0" w:end="0"/>
        <w:textAlignment w:val="auto"/>
        <w:rPr>
          <w:rFonts w:ascii="CESI仿宋-GB2312" w:hAnsi="CESI仿宋-GB2312" w:eastAsia="CESI仿宋-GB2312" w:cs="CESI仿宋-GB2312" w:hint="eastAsia"/>
          <w:sz w:val="32"/>
          <w:szCs w:val="32"/>
        </w:rPr>
      </w:pPr>
      <w:r>
        <w:rPr>
          <w:rFonts w:ascii="黑体" w:hAnsi="黑体" w:cs="宋体;方正书宋_GBK" w:hint="eastAsia" w:eastAsia="黑体"/>
          <w:spacing w:val="-8"/>
          <w:kern w:val="0"/>
          <w:sz w:val="32"/>
          <w:szCs w:val="32"/>
        </w:rPr>
        <w:t>第十六条</w:t>
      </w:r>
      <w:r>
        <w:rPr>
          <w:rFonts w:ascii="CESI仿宋-GB2312" w:hAnsi="CESI仿宋-GB2312" w:cs="CESI仿宋-GB2312" w:hint="eastAsia" w:eastAsia="CESI仿宋-GB2312"/>
          <w:sz w:val="32"/>
          <w:szCs w:val="32"/>
          <w:lang w:bidi="ar"/>
        </w:rPr>
        <w:t xml:space="preserve">  本市采用下列方式，充分发掘和合理运用红色资源优势，建立红色资源传承弘扬长效机制：</w:t>
      </w:r>
    </w:p>
    <w:p>
      <w:pPr>
        <w:pStyle w:val="Normal"/>
        <w:keepNext w:val="false"/>
        <w:keepLines w:val="false"/>
        <w:pageBreakBefore w:val="false"/>
        <w:kinsoku w:val="true"/>
        <w:bidi w:val="0"/>
        <w:snapToGrid w:val="false"/>
        <w:spacing w:lineRule="exact" w:line="594"/>
        <w:textAlignment w:val="auto"/>
        <w:rPr>
          <w:rFonts w:ascii="CESI仿宋-GB2312" w:hAnsi="CESI仿宋-GB2312" w:eastAsia="CESI仿宋-GB2312" w:cs="CESI仿宋-GB2312" w:hint="eastAsia"/>
          <w:sz w:val="32"/>
          <w:szCs w:val="32"/>
        </w:rPr>
      </w:pPr>
      <w:r>
        <w:rPr>
          <w:rFonts w:eastAsia="CESI仿宋-GB2312" w:cs="CESI仿宋-GB2312" w:hint="eastAsia" w:ascii="CESI仿宋-GB2312" w:hAnsi="CESI仿宋-GB2312"/>
          <w:sz w:val="32"/>
          <w:szCs w:val="32"/>
          <w:lang w:bidi="ar"/>
        </w:rPr>
        <w:t xml:space="preserve">    </w:t>
      </w:r>
      <w:r>
        <w:rPr>
          <w:rFonts w:ascii="CESI仿宋-GB2312" w:hAnsi="CESI仿宋-GB2312" w:cs="CESI仿宋-GB2312" w:hint="eastAsia" w:eastAsia="CESI仿宋-GB2312"/>
          <w:sz w:val="32"/>
          <w:szCs w:val="32"/>
          <w:lang w:bidi="ar"/>
        </w:rPr>
        <w:t>（一）干部教育培训机构应当将红色主题教育纳入教学课程体系，利用红色资源开展党性教育现场情景教学；</w:t>
      </w:r>
    </w:p>
    <w:p>
      <w:pPr>
        <w:pStyle w:val="Normal"/>
        <w:keepNext w:val="false"/>
        <w:keepLines w:val="false"/>
        <w:pageBreakBefore w:val="false"/>
        <w:kinsoku w:val="true"/>
        <w:bidi w:val="0"/>
        <w:snapToGrid w:val="false"/>
        <w:spacing w:lineRule="exact" w:line="594"/>
        <w:textAlignment w:val="auto"/>
        <w:rPr>
          <w:rFonts w:ascii="CESI仿宋-GB2312" w:hAnsi="CESI仿宋-GB2312" w:eastAsia="CESI仿宋-GB2312" w:cs="CESI仿宋-GB2312" w:hint="eastAsia"/>
          <w:sz w:val="32"/>
          <w:szCs w:val="32"/>
          <w:lang w:bidi="ar"/>
        </w:rPr>
      </w:pPr>
      <w:r>
        <w:rPr>
          <w:rFonts w:eastAsia="CESI仿宋-GB2312" w:cs="CESI仿宋-GB2312" w:hint="eastAsia" w:ascii="CESI仿宋-GB2312" w:hAnsi="CESI仿宋-GB2312"/>
          <w:sz w:val="32"/>
          <w:szCs w:val="32"/>
          <w:lang w:bidi="ar"/>
        </w:rPr>
        <w:t xml:space="preserve">    </w:t>
      </w:r>
      <w:r>
        <w:rPr>
          <w:rFonts w:ascii="CESI仿宋-GB2312" w:hAnsi="CESI仿宋-GB2312" w:cs="CESI仿宋-GB2312" w:hint="eastAsia" w:eastAsia="CESI仿宋-GB2312"/>
          <w:sz w:val="32"/>
          <w:szCs w:val="32"/>
          <w:lang w:bidi="ar"/>
        </w:rPr>
        <w:t>（二）教育行政部门应当指导各级各类学校将红色资源融入教育教学内容，组织开展红色主题教育活动；</w:t>
      </w:r>
    </w:p>
    <w:p>
      <w:pPr>
        <w:pStyle w:val="Normal"/>
        <w:keepNext w:val="false"/>
        <w:keepLines w:val="false"/>
        <w:pageBreakBefore w:val="false"/>
        <w:kinsoku w:val="true"/>
        <w:bidi w:val="0"/>
        <w:snapToGrid w:val="false"/>
        <w:spacing w:lineRule="exact" w:line="594"/>
        <w:textAlignment w:val="auto"/>
        <w:rPr>
          <w:rFonts w:ascii="CESI仿宋-GB2312" w:hAnsi="CESI仿宋-GB2312" w:eastAsia="CESI仿宋-GB2312" w:cs="CESI仿宋-GB2312" w:hint="eastAsia"/>
          <w:sz w:val="32"/>
          <w:szCs w:val="32"/>
          <w:lang w:bidi="ar"/>
        </w:rPr>
      </w:pPr>
      <w:r>
        <w:rPr>
          <w:rFonts w:eastAsia="CESI仿宋-GB2312" w:cs="CESI仿宋-GB2312" w:hint="eastAsia" w:ascii="CESI仿宋-GB2312" w:hAnsi="CESI仿宋-GB2312"/>
          <w:sz w:val="32"/>
          <w:szCs w:val="32"/>
          <w:lang w:bidi="ar"/>
        </w:rPr>
        <w:t xml:space="preserve">    </w:t>
      </w:r>
      <w:r>
        <w:rPr>
          <w:rFonts w:ascii="CESI仿宋-GB2312" w:hAnsi="CESI仿宋-GB2312" w:cs="CESI仿宋-GB2312" w:hint="eastAsia" w:eastAsia="CESI仿宋-GB2312"/>
          <w:sz w:val="32"/>
          <w:szCs w:val="32"/>
          <w:lang w:bidi="ar"/>
        </w:rPr>
        <w:t>（三）党史研究机构、档案馆、党校、高等院校、社会科学研究机构、新型智库等应当组织开展红色资源理论研究和解读阐释；</w:t>
      </w:r>
    </w:p>
    <w:p>
      <w:pPr>
        <w:pStyle w:val="Normal"/>
        <w:keepNext w:val="false"/>
        <w:keepLines w:val="false"/>
        <w:pageBreakBefore w:val="false"/>
        <w:kinsoku w:val="true"/>
        <w:bidi w:val="0"/>
        <w:snapToGrid w:val="false"/>
        <w:spacing w:lineRule="exact" w:line="594"/>
        <w:textAlignment w:val="auto"/>
        <w:rPr>
          <w:rFonts w:ascii="CESI仿宋-GB2312" w:hAnsi="CESI仿宋-GB2312" w:eastAsia="CESI仿宋-GB2312" w:cs="CESI仿宋-GB2312" w:hint="eastAsia"/>
          <w:sz w:val="32"/>
          <w:szCs w:val="32"/>
        </w:rPr>
      </w:pPr>
      <w:r>
        <w:rPr>
          <w:rFonts w:eastAsia="CESI仿宋-GB2312" w:cs="CESI仿宋-GB2312" w:hint="eastAsia" w:ascii="CESI仿宋-GB2312" w:hAnsi="CESI仿宋-GB2312"/>
          <w:sz w:val="32"/>
          <w:szCs w:val="32"/>
          <w:lang w:bidi="ar"/>
        </w:rPr>
        <w:t xml:space="preserve">    </w:t>
      </w:r>
      <w:r>
        <w:rPr>
          <w:rFonts w:ascii="CESI仿宋-GB2312" w:hAnsi="CESI仿宋-GB2312" w:cs="CESI仿宋-GB2312" w:hint="eastAsia" w:eastAsia="CESI仿宋-GB2312"/>
          <w:sz w:val="32"/>
          <w:szCs w:val="32"/>
          <w:lang w:bidi="ar"/>
        </w:rPr>
        <w:t>（四）文化和旅游部门应当因地制宜发展红色旅游，建设红色旅游景区，打造特色红色旅游品牌；</w:t>
      </w:r>
    </w:p>
    <w:p>
      <w:pPr>
        <w:pStyle w:val="Normal"/>
        <w:keepNext w:val="false"/>
        <w:keepLines w:val="false"/>
        <w:pageBreakBefore w:val="false"/>
        <w:kinsoku w:val="true"/>
        <w:bidi w:val="0"/>
        <w:snapToGrid w:val="false"/>
        <w:spacing w:lineRule="exact" w:line="594"/>
        <w:textAlignment w:val="auto"/>
        <w:rPr>
          <w:rFonts w:ascii="CESI仿宋-GB2312" w:hAnsi="CESI仿宋-GB2312" w:eastAsia="CESI仿宋-GB2312" w:cs="CESI仿宋-GB2312" w:hint="eastAsia"/>
          <w:sz w:val="32"/>
          <w:szCs w:val="32"/>
        </w:rPr>
      </w:pPr>
      <w:r>
        <w:rPr>
          <w:rFonts w:eastAsia="CESI仿宋-GB2312" w:cs="CESI仿宋-GB2312" w:hint="eastAsia" w:ascii="CESI仿宋-GB2312" w:hAnsi="CESI仿宋-GB2312"/>
          <w:sz w:val="32"/>
          <w:szCs w:val="32"/>
          <w:lang w:bidi="ar"/>
        </w:rPr>
        <w:t xml:space="preserve">    </w:t>
      </w:r>
      <w:r>
        <w:rPr>
          <w:rFonts w:ascii="CESI仿宋-GB2312" w:hAnsi="CESI仿宋-GB2312" w:cs="CESI仿宋-GB2312" w:hint="eastAsia" w:eastAsia="CESI仿宋-GB2312"/>
          <w:sz w:val="32"/>
          <w:szCs w:val="32"/>
          <w:lang w:bidi="ar"/>
        </w:rPr>
        <w:t>（五）各类媒体应当开展红色资源公益宣传，拓展红色资源传播渠道，弘扬红色文化；</w:t>
      </w:r>
    </w:p>
    <w:p>
      <w:pPr>
        <w:pStyle w:val="Normal"/>
        <w:keepNext w:val="false"/>
        <w:keepLines w:val="false"/>
        <w:pageBreakBefore w:val="false"/>
        <w:kinsoku w:val="true"/>
        <w:bidi w:val="0"/>
        <w:snapToGrid w:val="false"/>
        <w:spacing w:lineRule="exact" w:line="594"/>
        <w:textAlignment w:val="auto"/>
        <w:rPr>
          <w:rFonts w:ascii="CESI仿宋-GB2312" w:hAnsi="CESI仿宋-GB2312" w:eastAsia="CESI仿宋-GB2312" w:cs="CESI仿宋-GB2312" w:hint="eastAsia"/>
          <w:sz w:val="32"/>
          <w:szCs w:val="32"/>
        </w:rPr>
      </w:pPr>
      <w:r>
        <w:rPr>
          <w:rFonts w:eastAsia="CESI仿宋-GB2312" w:cs="CESI仿宋-GB2312" w:hint="eastAsia" w:ascii="CESI仿宋-GB2312" w:hAnsi="CESI仿宋-GB2312"/>
          <w:sz w:val="32"/>
          <w:szCs w:val="32"/>
          <w:lang w:bidi="ar"/>
        </w:rPr>
        <w:t xml:space="preserve">    </w:t>
      </w:r>
      <w:r>
        <w:rPr>
          <w:rFonts w:ascii="CESI仿宋-GB2312" w:hAnsi="CESI仿宋-GB2312" w:cs="CESI仿宋-GB2312" w:hint="eastAsia" w:eastAsia="CESI仿宋-GB2312"/>
          <w:sz w:val="32"/>
          <w:szCs w:val="32"/>
          <w:lang w:bidi="ar"/>
        </w:rPr>
        <w:t>（六）传承弘扬红色资源的其他方式。</w:t>
      </w:r>
    </w:p>
    <w:p>
      <w:pPr>
        <w:pStyle w:val="Normal"/>
        <w:keepNext w:val="false"/>
        <w:keepLines w:val="false"/>
        <w:pageBreakBefore w:val="false"/>
        <w:kinsoku w:val="true"/>
        <w:bidi w:val="0"/>
        <w:snapToGrid w:val="false"/>
        <w:spacing w:lineRule="exact" w:line="594"/>
        <w:ind w:firstLineChars="200" w:startChars="0" w:start="0" w:endChars="0" w:end="0"/>
        <w:textAlignment w:val="auto"/>
        <w:rPr>
          <w:rFonts w:ascii="CESI仿宋-GB2312" w:hAnsi="CESI仿宋-GB2312" w:eastAsia="CESI仿宋-GB2312" w:cs="CESI仿宋-GB2312" w:hint="eastAsia"/>
          <w:color w:val="000000"/>
          <w:sz w:val="32"/>
          <w:szCs w:val="32"/>
        </w:rPr>
      </w:pPr>
      <w:r>
        <w:rPr>
          <w:rFonts w:ascii="CESI仿宋-GB2312" w:hAnsi="CESI仿宋-GB2312" w:cs="CESI仿宋-GB2312" w:hint="eastAsia" w:eastAsia="CESI仿宋-GB2312"/>
          <w:sz w:val="32"/>
          <w:szCs w:val="32"/>
          <w:lang w:bidi="ar"/>
        </w:rPr>
        <w:t>本市将红色资源保护传承纳入群众性精神文明创建活动；建立健全红色资源保护传承志愿服务机制；支持红色文艺精品、红色文化创意产品创作生产。</w:t>
      </w:r>
    </w:p>
    <w:p>
      <w:pPr>
        <w:pStyle w:val="Normal"/>
        <w:keepNext w:val="false"/>
        <w:keepLines w:val="false"/>
        <w:pageBreakBefore w:val="false"/>
        <w:kinsoku w:val="true"/>
        <w:bidi w:val="0"/>
        <w:snapToGrid w:val="false"/>
        <w:spacing w:lineRule="exact" w:line="594"/>
        <w:ind w:firstLineChars="200" w:startChars="0" w:start="0" w:endChars="0" w:end="0"/>
        <w:textAlignment w:val="auto"/>
        <w:rPr>
          <w:rFonts w:ascii="CESI仿宋-GB2312" w:hAnsi="CESI仿宋-GB2312" w:eastAsia="CESI仿宋-GB2312" w:cs="CESI仿宋-GB2312" w:hint="eastAsia"/>
          <w:color w:val="000000"/>
          <w:sz w:val="32"/>
          <w:szCs w:val="32"/>
        </w:rPr>
      </w:pPr>
      <w:r>
        <w:rPr>
          <w:rFonts w:ascii="黑体" w:hAnsi="黑体" w:cs="宋体;方正书宋_GBK" w:hint="eastAsia" w:eastAsia="黑体"/>
          <w:spacing w:val="-8"/>
          <w:kern w:val="0"/>
          <w:sz w:val="32"/>
          <w:szCs w:val="32"/>
        </w:rPr>
        <w:t>第十七条</w:t>
      </w:r>
      <w:r>
        <w:rPr>
          <w:rFonts w:ascii="CESI仿宋-GB2312" w:hAnsi="CESI仿宋-GB2312" w:cs="CESI仿宋-GB2312" w:hint="eastAsia" w:eastAsia="CESI仿宋-GB2312"/>
          <w:sz w:val="32"/>
          <w:szCs w:val="32"/>
          <w:lang w:bidi="ar"/>
        </w:rPr>
        <w:t xml:space="preserve">  国家机关、人民团体、企业事业单位等应当在清明节、“七一”、烈士纪念日、国庆节、“一一</w:t>
      </w:r>
      <w:r>
        <w:rPr>
          <w:rFonts w:eastAsia="CESI仿宋-GB2312" w:cs="CESI仿宋-GB2312" w:hint="eastAsia" w:ascii="CESI仿宋-GB2312" w:hAnsi="CESI仿宋-GB2312"/>
          <w:sz w:val="32"/>
          <w:szCs w:val="32"/>
          <w:lang w:bidi="ar"/>
        </w:rPr>
        <w:t>·</w:t>
      </w:r>
      <w:r>
        <w:rPr>
          <w:rFonts w:ascii="CESI仿宋-GB2312" w:hAnsi="CESI仿宋-GB2312" w:cs="CESI仿宋-GB2312" w:hint="eastAsia" w:eastAsia="CESI仿宋-GB2312"/>
          <w:sz w:val="32"/>
          <w:szCs w:val="32"/>
          <w:lang w:bidi="ar"/>
        </w:rPr>
        <w:t>二七”烈士殉难日等重要纪念日，组织开展红色宣传教育活动。</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CESI仿宋-GB2312" w:hAnsi="CESI仿宋-GB2312" w:eastAsia="CESI仿宋-GB2312" w:cs="CESI仿宋-GB2312" w:hint="eastAsia"/>
          <w:sz w:val="32"/>
          <w:szCs w:val="32"/>
        </w:rPr>
      </w:pPr>
      <w:r>
        <w:rPr>
          <w:rFonts w:ascii="黑体" w:hAnsi="黑体" w:cs="宋体;方正书宋_GBK" w:hint="eastAsia" w:eastAsia="黑体"/>
          <w:spacing w:val="-8"/>
          <w:kern w:val="0"/>
          <w:sz w:val="32"/>
          <w:szCs w:val="32"/>
        </w:rPr>
        <w:t>第十八条</w:t>
      </w:r>
      <w:r>
        <w:rPr>
          <w:rFonts w:ascii="CESI仿宋-GB2312" w:hAnsi="CESI仿宋-GB2312" w:cs="CESI仿宋-GB2312" w:hint="eastAsia" w:eastAsia="CESI仿宋-GB2312"/>
          <w:sz w:val="32"/>
          <w:szCs w:val="32"/>
          <w:lang w:bidi="ar"/>
        </w:rPr>
        <w:t xml:space="preserve">  </w:t>
      </w:r>
      <w:r>
        <w:rPr>
          <w:rFonts w:ascii="CESI仿宋-GB2312" w:hAnsi="CESI仿宋-GB2312" w:cs="CESI仿宋-GB2312" w:hint="eastAsia" w:eastAsia="CESI仿宋-GB2312"/>
          <w:color w:val="000000"/>
          <w:sz w:val="32"/>
          <w:szCs w:val="32"/>
          <w:lang w:bidi="ar"/>
        </w:rPr>
        <w:t>本市加强与其他省、自治区和直辖市在红色资源保</w:t>
      </w:r>
      <w:r>
        <w:rPr>
          <w:rFonts w:ascii="CESI仿宋-GB2312" w:hAnsi="CESI仿宋-GB2312" w:cs="CESI仿宋-GB2312" w:hint="eastAsia" w:eastAsia="CESI仿宋-GB2312"/>
          <w:sz w:val="32"/>
          <w:szCs w:val="32"/>
          <w:lang w:bidi="ar"/>
        </w:rPr>
        <w:t>护传承方面的联动合作。</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CESI仿宋-GB2312" w:hAnsi="CESI仿宋-GB2312" w:eastAsia="CESI仿宋-GB2312" w:cs="CESI仿宋-GB2312" w:hint="eastAsia"/>
          <w:color w:val="000000"/>
          <w:sz w:val="32"/>
          <w:szCs w:val="32"/>
        </w:rPr>
      </w:pPr>
      <w:r>
        <w:rPr>
          <w:rFonts w:ascii="CESI仿宋-GB2312" w:hAnsi="CESI仿宋-GB2312" w:cs="CESI仿宋-GB2312" w:hint="eastAsia" w:eastAsia="CESI仿宋-GB2312"/>
          <w:sz w:val="32"/>
          <w:szCs w:val="32"/>
          <w:lang w:bidi="ar"/>
        </w:rPr>
        <w:t>本市加强成渝地区双城经济圈红色资源保护传承协作，协同推进川渝黔红色文化走廊建设，健全红色资源保护开发、红色资源理论研究、红色文艺作品创作等方面的合作机制，加强工作交流，联合打造红色资源传承弘扬知名品牌和红色旅游跨省精品路线，推动区域红色资源的协同保护和发展。</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CESI仿宋-GB2312" w:hAnsi="CESI仿宋-GB2312" w:eastAsia="CESI仿宋-GB2312" w:cs="CESI仿宋-GB2312" w:hint="eastAsia"/>
          <w:sz w:val="32"/>
          <w:szCs w:val="32"/>
          <w:lang w:bidi="ar"/>
        </w:rPr>
      </w:pPr>
      <w:r>
        <w:rPr>
          <w:rFonts w:ascii="黑体" w:hAnsi="黑体" w:cs="宋体;方正书宋_GBK" w:hint="eastAsia" w:eastAsia="黑体"/>
          <w:spacing w:val="-8"/>
          <w:kern w:val="0"/>
          <w:sz w:val="32"/>
          <w:szCs w:val="32"/>
        </w:rPr>
        <w:t>第十九条</w:t>
      </w:r>
      <w:r>
        <w:rPr>
          <w:rFonts w:ascii="CESI仿宋-GB2312" w:hAnsi="CESI仿宋-GB2312" w:cs="CESI仿宋-GB2312" w:hint="eastAsia" w:eastAsia="CESI仿宋-GB2312"/>
          <w:sz w:val="32"/>
          <w:szCs w:val="32"/>
          <w:lang w:bidi="ar"/>
        </w:rPr>
        <w:t xml:space="preserve">  市、区县（自治县）人民政府</w:t>
      </w:r>
      <w:r>
        <w:rPr>
          <w:rFonts w:ascii="CESI仿宋-GB2312" w:hAnsi="CESI仿宋-GB2312" w:cs="CESI仿宋-GB2312" w:hint="eastAsia" w:eastAsia="CESI仿宋-GB2312"/>
          <w:color w:val="000000"/>
          <w:sz w:val="32"/>
          <w:szCs w:val="32"/>
          <w:lang w:bidi="ar"/>
        </w:rPr>
        <w:t>应当建立完善红色资源的保护传承支持</w:t>
      </w:r>
      <w:r>
        <w:rPr>
          <w:rFonts w:ascii="CESI仿宋-GB2312" w:hAnsi="CESI仿宋-GB2312" w:cs="CESI仿宋-GB2312" w:hint="eastAsia" w:eastAsia="CESI仿宋-GB2312"/>
          <w:sz w:val="32"/>
          <w:szCs w:val="32"/>
          <w:lang w:bidi="ar"/>
        </w:rPr>
        <w:t>机制，将红色资源保护传承所需经费列入本级政府预算。</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CESI仿宋-GB2312" w:hAnsi="CESI仿宋-GB2312" w:eastAsia="CESI仿宋-GB2312" w:cs="CESI仿宋-GB2312" w:hint="eastAsia"/>
          <w:color w:val="000000"/>
          <w:sz w:val="32"/>
          <w:szCs w:val="32"/>
        </w:rPr>
      </w:pPr>
      <w:r>
        <w:rPr>
          <w:rFonts w:ascii="CESI仿宋-GB2312" w:hAnsi="CESI仿宋-GB2312" w:cs="CESI仿宋-GB2312" w:hint="eastAsia" w:eastAsia="CESI仿宋-GB2312"/>
          <w:sz w:val="32"/>
          <w:szCs w:val="32"/>
          <w:lang w:bidi="ar"/>
        </w:rPr>
        <w:t>鼓励公民、法人和非法人组织以捐赠、签订保护协议、技术支持等方式参与红色资源保护传承，建立健全红色资源保护传承多元投入机制。</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CESI仿宋-GB2312" w:hAnsi="CESI仿宋-GB2312" w:eastAsia="CESI仿宋-GB2312" w:cs="CESI仿宋-GB2312" w:hint="eastAsia"/>
          <w:sz w:val="32"/>
          <w:szCs w:val="32"/>
          <w:lang w:bidi="ar"/>
        </w:rPr>
      </w:pPr>
      <w:r>
        <w:rPr>
          <w:rFonts w:ascii="黑体" w:hAnsi="黑体" w:cs="宋体;方正书宋_GBK" w:hint="eastAsia" w:eastAsia="黑体"/>
          <w:spacing w:val="-8"/>
          <w:kern w:val="0"/>
          <w:sz w:val="32"/>
          <w:szCs w:val="32"/>
        </w:rPr>
        <w:t>第二十条</w:t>
      </w:r>
      <w:r>
        <w:rPr>
          <w:rFonts w:ascii="CESI仿宋-GB2312" w:hAnsi="CESI仿宋-GB2312" w:cs="CESI仿宋-GB2312" w:hint="eastAsia" w:eastAsia="CESI仿宋-GB2312"/>
          <w:sz w:val="32"/>
          <w:szCs w:val="32"/>
          <w:lang w:bidi="ar"/>
        </w:rPr>
        <w:t xml:space="preserve">  红色资源工作部门应当对红色资源保护传承状况进行监督检查和定期评估，并通过警示提醒、约谈、指导等方式督促相关保护责任人履行职责。</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CESI仿宋-GB2312" w:hAnsi="CESI仿宋-GB2312" w:eastAsia="CESI仿宋-GB2312" w:cs="CESI仿宋-GB2312" w:hint="eastAsia"/>
          <w:color w:val="000000"/>
          <w:sz w:val="32"/>
          <w:szCs w:val="32"/>
        </w:rPr>
      </w:pPr>
      <w:r>
        <w:rPr>
          <w:rFonts w:ascii="CESI仿宋-GB2312" w:hAnsi="CESI仿宋-GB2312" w:cs="CESI仿宋-GB2312" w:hint="eastAsia" w:eastAsia="CESI仿宋-GB2312"/>
          <w:sz w:val="32"/>
          <w:szCs w:val="32"/>
          <w:lang w:bidi="ar"/>
        </w:rPr>
        <w:t>红色资源保护责任人应当定期向红色资源工作部门报告红色资源保护传承情况，对存在的问题及时整改。</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CESI仿宋-GB2312" w:hAnsi="CESI仿宋-GB2312" w:eastAsia="CESI仿宋-GB2312" w:cs="CESI仿宋-GB2312" w:hint="eastAsia"/>
          <w:color w:val="000000"/>
          <w:sz w:val="32"/>
          <w:szCs w:val="32"/>
        </w:rPr>
      </w:pPr>
      <w:r>
        <w:rPr>
          <w:rFonts w:ascii="黑体" w:hAnsi="黑体" w:cs="宋体;方正书宋_GBK" w:hint="eastAsia" w:eastAsia="黑体"/>
          <w:spacing w:val="-8"/>
          <w:kern w:val="0"/>
          <w:sz w:val="32"/>
          <w:szCs w:val="32"/>
        </w:rPr>
        <w:t>第二十一条</w:t>
      </w:r>
      <w:r>
        <w:rPr>
          <w:rFonts w:ascii="CESI仿宋-GB2312" w:hAnsi="CESI仿宋-GB2312" w:cs="CESI仿宋-GB2312" w:hint="eastAsia" w:eastAsia="CESI仿宋-GB2312"/>
          <w:sz w:val="32"/>
          <w:szCs w:val="32"/>
          <w:lang w:bidi="ar"/>
        </w:rPr>
        <w:t xml:space="preserve">  市、区县（自治县）人民政府及红色资源工作部门对在红色资源保护传承工作中做出突出贡献的组织和个人，按照国家和本市有关规定给予表彰、奖励。</w:t>
      </w:r>
    </w:p>
    <w:p>
      <w:pPr>
        <w:pStyle w:val="Normal"/>
        <w:keepNext w:val="false"/>
        <w:keepLines w:val="false"/>
        <w:pageBreakBefore w:val="false"/>
        <w:kinsoku w:val="true"/>
        <w:bidi w:val="0"/>
        <w:snapToGrid w:val="false"/>
        <w:spacing w:lineRule="exact" w:line="594"/>
        <w:ind w:firstLineChars="200" w:startChars="0" w:start="0" w:endChars="0" w:end="0"/>
        <w:textAlignment w:val="auto"/>
        <w:rPr>
          <w:rFonts w:ascii="CESI仿宋-GB2312" w:hAnsi="CESI仿宋-GB2312" w:eastAsia="CESI仿宋-GB2312" w:cs="CESI仿宋-GB2312" w:hint="eastAsia"/>
          <w:kern w:val="2"/>
          <w:sz w:val="32"/>
          <w:szCs w:val="32"/>
          <w:lang w:bidi="ar"/>
        </w:rPr>
      </w:pPr>
      <w:r>
        <w:rPr>
          <w:rFonts w:ascii="黑体" w:hAnsi="黑体" w:cs="宋体;方正书宋_GBK" w:hint="eastAsia" w:eastAsia="黑体"/>
          <w:spacing w:val="-8"/>
          <w:kern w:val="0"/>
          <w:sz w:val="32"/>
          <w:szCs w:val="32"/>
        </w:rPr>
        <w:t>第二十二条</w:t>
      </w:r>
      <w:r>
        <w:rPr>
          <w:rFonts w:ascii="CESI仿宋-GB2312" w:hAnsi="CESI仿宋-GB2312" w:cs="CESI仿宋-GB2312" w:hint="eastAsia" w:eastAsia="CESI仿宋-GB2312"/>
          <w:sz w:val="32"/>
          <w:szCs w:val="32"/>
          <w:lang w:bidi="ar"/>
        </w:rPr>
        <w:t xml:space="preserve">  违反本规</w:t>
      </w:r>
      <w:r>
        <w:rPr>
          <w:rFonts w:ascii="CESI仿宋-GB2312" w:hAnsi="CESI仿宋-GB2312" w:cs="CESI仿宋-GB2312" w:hint="eastAsia" w:eastAsia="CESI仿宋-GB2312"/>
          <w:kern w:val="2"/>
          <w:sz w:val="32"/>
          <w:szCs w:val="32"/>
          <w:lang w:bidi="ar"/>
        </w:rPr>
        <w:t>定，有下列行为之一，尚不构成犯罪的，由相关红色资源工作部门责令改正，造成严重后果的，处五万元以上五十万元以下的罚款；情节严重的，由原发证机关依法吊销资质证书：</w:t>
      </w:r>
    </w:p>
    <w:p>
      <w:pPr>
        <w:pStyle w:val="Normal"/>
        <w:keepNext w:val="false"/>
        <w:keepLines w:val="false"/>
        <w:pageBreakBefore w:val="false"/>
        <w:kinsoku w:val="true"/>
        <w:bidi w:val="0"/>
        <w:snapToGrid w:val="false"/>
        <w:spacing w:lineRule="exact" w:line="594"/>
        <w:ind w:firstLineChars="200" w:startChars="0" w:start="0" w:endChars="0" w:end="0"/>
        <w:textAlignment w:val="auto"/>
        <w:rPr>
          <w:rFonts w:ascii="CESI仿宋-GB2312" w:hAnsi="CESI仿宋-GB2312" w:eastAsia="CESI仿宋-GB2312" w:cs="CESI仿宋-GB2312" w:hint="eastAsia"/>
          <w:sz w:val="32"/>
          <w:szCs w:val="32"/>
          <w:lang w:bidi="ar"/>
        </w:rPr>
      </w:pPr>
      <w:r>
        <w:rPr>
          <w:rFonts w:ascii="CESI仿宋-GB2312" w:hAnsi="CESI仿宋-GB2312" w:cs="CESI仿宋-GB2312" w:hint="eastAsia" w:eastAsia="CESI仿宋-GB2312"/>
          <w:sz w:val="32"/>
          <w:szCs w:val="32"/>
          <w:lang w:bidi="ar"/>
        </w:rPr>
        <w:t>（一）在不可移动红色资源的保护范围内进行建设工程或者爆破、钻探、挖掘等作业，损害红色资源或者建设工程与红色资源的历史风貌不相协调的；</w:t>
      </w:r>
    </w:p>
    <w:p>
      <w:pPr>
        <w:pStyle w:val="Normal"/>
        <w:keepNext w:val="false"/>
        <w:keepLines w:val="false"/>
        <w:pageBreakBefore w:val="false"/>
        <w:kinsoku w:val="true"/>
        <w:bidi w:val="0"/>
        <w:snapToGrid w:val="false"/>
        <w:spacing w:lineRule="exact" w:line="594"/>
        <w:ind w:firstLineChars="200" w:startChars="0" w:start="0" w:endChars="0" w:end="0"/>
        <w:textAlignment w:val="auto"/>
        <w:rPr>
          <w:rFonts w:ascii="CESI仿宋-GB2312" w:hAnsi="CESI仿宋-GB2312" w:eastAsia="CESI仿宋-GB2312" w:cs="CESI仿宋-GB2312" w:hint="eastAsia"/>
          <w:sz w:val="32"/>
          <w:szCs w:val="32"/>
          <w:lang w:bidi="ar"/>
        </w:rPr>
      </w:pPr>
      <w:r>
        <w:rPr>
          <w:rFonts w:ascii="CESI仿宋-GB2312" w:hAnsi="CESI仿宋-GB2312" w:cs="CESI仿宋-GB2312" w:hint="eastAsia" w:eastAsia="CESI仿宋-GB2312"/>
          <w:sz w:val="32"/>
          <w:szCs w:val="32"/>
          <w:lang w:bidi="ar"/>
        </w:rPr>
        <w:t>（二）擅自迁移、拆除不可移动红色资源的；</w:t>
      </w:r>
    </w:p>
    <w:p>
      <w:pPr>
        <w:pStyle w:val="Normal"/>
        <w:keepNext w:val="false"/>
        <w:keepLines w:val="false"/>
        <w:pageBreakBefore w:val="false"/>
        <w:kinsoku w:val="true"/>
        <w:bidi w:val="0"/>
        <w:snapToGrid w:val="false"/>
        <w:spacing w:lineRule="exact" w:line="594"/>
        <w:ind w:firstLineChars="200" w:startChars="0" w:start="0" w:endChars="0" w:end="0"/>
        <w:textAlignment w:val="auto"/>
        <w:rPr>
          <w:rFonts w:ascii="CESI仿宋-GB2312" w:hAnsi="CESI仿宋-GB2312" w:eastAsia="CESI仿宋-GB2312" w:cs="CESI仿宋-GB2312" w:hint="eastAsia"/>
          <w:color w:val="000000"/>
          <w:sz w:val="32"/>
          <w:szCs w:val="32"/>
        </w:rPr>
      </w:pPr>
      <w:r>
        <w:rPr>
          <w:rFonts w:ascii="CESI仿宋-GB2312" w:hAnsi="CESI仿宋-GB2312" w:cs="CESI仿宋-GB2312" w:hint="eastAsia" w:eastAsia="CESI仿宋-GB2312"/>
          <w:sz w:val="32"/>
          <w:szCs w:val="32"/>
          <w:lang w:bidi="ar"/>
        </w:rPr>
        <w:t>（三）修缮不可移动红色资源，明显改变原状或者损毁、改变主体结构及其附属设施的。</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CESI仿宋-GB2312" w:hAnsi="CESI仿宋-GB2312" w:eastAsia="CESI仿宋-GB2312" w:cs="CESI仿宋-GB2312" w:hint="eastAsia"/>
          <w:kern w:val="2"/>
          <w:sz w:val="32"/>
          <w:szCs w:val="32"/>
          <w:lang w:bidi="ar"/>
        </w:rPr>
      </w:pPr>
      <w:r>
        <w:rPr>
          <w:rFonts w:ascii="黑体" w:hAnsi="黑体" w:cs="宋体;方正书宋_GBK" w:hint="eastAsia" w:eastAsia="黑体"/>
          <w:spacing w:val="-8"/>
          <w:kern w:val="0"/>
          <w:sz w:val="32"/>
          <w:szCs w:val="32"/>
        </w:rPr>
        <w:t>第二十三条</w:t>
      </w:r>
      <w:r>
        <w:rPr>
          <w:rFonts w:ascii="CESI仿宋-GB2312" w:hAnsi="CESI仿宋-GB2312" w:cs="CESI仿宋-GB2312" w:hint="eastAsia" w:eastAsia="CESI仿宋-GB2312"/>
          <w:sz w:val="32"/>
          <w:szCs w:val="32"/>
          <w:lang w:bidi="ar"/>
        </w:rPr>
        <w:t xml:space="preserve">  违反本规定</w:t>
      </w:r>
      <w:r>
        <w:rPr>
          <w:rFonts w:ascii="CESI仿宋-GB2312" w:hAnsi="CESI仿宋-GB2312" w:cs="CESI仿宋-GB2312" w:hint="eastAsia" w:eastAsia="CESI仿宋-GB2312"/>
          <w:kern w:val="2"/>
          <w:sz w:val="32"/>
          <w:szCs w:val="32"/>
          <w:lang w:bidi="ar"/>
        </w:rPr>
        <w:t>，擅自设置、移动、涂污、篡改、损毁保护标识或者涂污、破坏、损毁、侵占红色资源，情节轻微的，由相关红色资源工作部门给予警告；情节严重的，由相关红色资源工作部门对个人处二百元以上一千元以下罚款，对单位处五百元以上五千元以下罚款；造成损害的，依法承担民事责任；构成违反治安管理行为的，由公安机关依法给予治安管理处罚；构成犯罪的，依法追究刑事责任。</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CESI仿宋-GB2312" w:hAnsi="CESI仿宋-GB2312" w:eastAsia="CESI仿宋-GB2312" w:cs="CESI仿宋-GB2312" w:hint="eastAsia"/>
          <w:kern w:val="2"/>
          <w:sz w:val="32"/>
          <w:szCs w:val="32"/>
          <w:lang w:bidi="ar"/>
        </w:rPr>
      </w:pPr>
      <w:r>
        <w:rPr>
          <w:rFonts w:ascii="CESI仿宋-GB2312" w:hAnsi="CESI仿宋-GB2312" w:cs="CESI仿宋-GB2312" w:hint="eastAsia" w:eastAsia="CESI仿宋-GB2312"/>
          <w:sz w:val="32"/>
          <w:szCs w:val="32"/>
          <w:lang w:bidi="ar"/>
        </w:rPr>
        <w:t>违反本规定，歪曲、丑化</w:t>
      </w:r>
      <w:r>
        <w:rPr>
          <w:rFonts w:ascii="CESI仿宋-GB2312" w:hAnsi="CESI仿宋-GB2312" w:cs="CESI仿宋-GB2312" w:hint="eastAsia" w:eastAsia="CESI仿宋-GB2312"/>
          <w:kern w:val="2"/>
          <w:sz w:val="32"/>
          <w:szCs w:val="32"/>
          <w:lang w:bidi="ar"/>
        </w:rPr>
        <w:t>、亵渎红色资源，情节轻微的，由相关红色资源工作部门给予批评教育；造成损害的，依法承担民事责任；构成违反治安管理行为的，由公安机关依法给予治安管理处罚；构成犯罪的，依法追究刑事责任。</w:t>
      </w:r>
    </w:p>
    <w:p>
      <w:pPr>
        <w:pStyle w:val="Normal"/>
        <w:keepNext w:val="false"/>
        <w:keepLines w:val="false"/>
        <w:pageBreakBefore w:val="false"/>
        <w:kinsoku w:val="true"/>
        <w:bidi w:val="0"/>
        <w:snapToGrid w:val="false"/>
        <w:spacing w:lineRule="exact" w:line="594"/>
        <w:ind w:firstLineChars="200" w:startChars="0" w:start="0" w:endChars="0" w:end="0"/>
        <w:textAlignment w:val="auto"/>
        <w:rPr>
          <w:rFonts w:ascii="CESI仿宋-GB2312" w:hAnsi="CESI仿宋-GB2312" w:eastAsia="CESI仿宋-GB2312" w:cs="CESI仿宋-GB2312" w:hint="eastAsia"/>
          <w:color w:val="000000"/>
          <w:sz w:val="32"/>
          <w:szCs w:val="32"/>
        </w:rPr>
      </w:pPr>
      <w:r>
        <w:rPr>
          <w:rFonts w:ascii="黑体" w:hAnsi="黑体" w:cs="宋体;方正书宋_GBK" w:hint="eastAsia" w:eastAsia="黑体"/>
          <w:spacing w:val="-8"/>
          <w:kern w:val="0"/>
          <w:sz w:val="32"/>
          <w:szCs w:val="32"/>
        </w:rPr>
        <w:t>第二十四条</w:t>
      </w:r>
      <w:r>
        <w:rPr>
          <w:rFonts w:ascii="CESI仿宋-GB2312" w:hAnsi="CESI仿宋-GB2312" w:cs="CESI仿宋-GB2312" w:hint="eastAsia" w:eastAsia="CESI仿宋-GB2312"/>
          <w:sz w:val="32"/>
          <w:szCs w:val="32"/>
          <w:lang w:bidi="ar"/>
        </w:rPr>
        <w:t xml:space="preserve">  各级人民政</w:t>
      </w:r>
      <w:r>
        <w:rPr>
          <w:rFonts w:ascii="CESI仿宋-GB2312" w:hAnsi="CESI仿宋-GB2312" w:cs="CESI仿宋-GB2312" w:hint="eastAsia" w:eastAsia="CESI仿宋-GB2312"/>
          <w:kern w:val="2"/>
          <w:sz w:val="32"/>
          <w:szCs w:val="32"/>
          <w:lang w:bidi="ar"/>
        </w:rPr>
        <w:t>府及其有关部门违反本规定，在红色资源保护传承工作中不履行或者不正确履行法定职责，对直接负责的主管人员和其他直接责任人员，依照法律、法规和有关规定追究责任；构成犯罪的，依法追究刑</w:t>
      </w:r>
      <w:r>
        <w:rPr>
          <w:rFonts w:ascii="CESI仿宋-GB2312" w:hAnsi="CESI仿宋-GB2312" w:cs="CESI仿宋-GB2312" w:hint="eastAsia" w:eastAsia="CESI仿宋-GB2312"/>
          <w:sz w:val="32"/>
          <w:szCs w:val="32"/>
          <w:lang w:bidi="ar"/>
        </w:rPr>
        <w:t>事责任。</w:t>
      </w:r>
    </w:p>
    <w:p>
      <w:pPr>
        <w:pStyle w:val="Normal"/>
        <w:keepNext w:val="false"/>
        <w:keepLines w:val="false"/>
        <w:pageBreakBefore w:val="false"/>
        <w:kinsoku w:val="true"/>
        <w:bidi w:val="0"/>
        <w:snapToGrid w:val="false"/>
        <w:spacing w:lineRule="exact" w:line="594"/>
        <w:ind w:firstLineChars="200" w:startChars="0" w:start="0" w:endChars="0" w:end="0"/>
        <w:textAlignment w:val="auto"/>
        <w:rPr>
          <w:rFonts w:ascii="CESI仿宋-GB2312" w:hAnsi="CESI仿宋-GB2312" w:eastAsia="CESI仿宋-GB2312" w:cs="CESI仿宋-GB2312" w:hint="eastAsia"/>
          <w:color w:val="000000"/>
          <w:sz w:val="32"/>
          <w:szCs w:val="32"/>
        </w:rPr>
      </w:pPr>
      <w:r>
        <w:rPr>
          <w:rFonts w:ascii="黑体" w:hAnsi="黑体" w:cs="宋体;方正书宋_GBK" w:hint="eastAsia" w:eastAsia="黑体"/>
          <w:spacing w:val="-8"/>
          <w:kern w:val="0"/>
          <w:sz w:val="32"/>
          <w:szCs w:val="32"/>
        </w:rPr>
        <w:t>第二十五条</w:t>
      </w:r>
      <w:r>
        <w:rPr>
          <w:rFonts w:ascii="CESI仿宋-GB2312" w:hAnsi="CESI仿宋-GB2312" w:cs="CESI仿宋-GB2312" w:hint="eastAsia" w:eastAsia="CESI仿宋-GB2312"/>
          <w:sz w:val="32"/>
          <w:szCs w:val="32"/>
          <w:lang w:bidi="ar"/>
        </w:rPr>
        <w:t xml:space="preserve">  法律、法规对红色资源中涉及的文物、革命烈士纪念设施、历史建筑及非物质文化遗产等已有规定的，适用其规定。</w:t>
      </w:r>
    </w:p>
    <w:p>
      <w:pPr>
        <w:pStyle w:val="Normal"/>
        <w:keepNext w:val="false"/>
        <w:keepLines w:val="false"/>
        <w:pageBreakBefore w:val="false"/>
        <w:widowControl w:val="false"/>
        <w:kinsoku w:val="true"/>
        <w:overflowPunct w:val="true"/>
        <w:autoSpaceDE w:val="false"/>
        <w:bidi w:val="0"/>
        <w:spacing w:lineRule="exact" w:line="594"/>
        <w:ind w:firstLineChars="200" w:startChars="0" w:start="0" w:endChars="0" w:end="0"/>
        <w:jc w:val="start"/>
        <w:textAlignment w:val="auto"/>
        <w:rPr>
          <w:rFonts w:ascii="CESI仿宋-GB2312" w:hAnsi="CESI仿宋-GB2312" w:eastAsia="CESI仿宋-GB2312" w:cs="CESI仿宋-GB2312" w:hint="eastAsia"/>
          <w:color w:val="000000"/>
          <w:kern w:val="0"/>
          <w:sz w:val="32"/>
          <w:szCs w:val="32"/>
        </w:rPr>
      </w:pPr>
      <w:r>
        <w:rPr>
          <w:rFonts w:ascii="黑体" w:hAnsi="黑体" w:cs="宋体;方正书宋_GBK" w:hint="eastAsia" w:eastAsia="黑体"/>
          <w:spacing w:val="-8"/>
          <w:kern w:val="0"/>
          <w:sz w:val="32"/>
          <w:szCs w:val="32"/>
        </w:rPr>
        <w:t>第二十六条</w:t>
      </w:r>
      <w:r>
        <w:rPr>
          <w:rFonts w:ascii="CESI仿宋-GB2312" w:hAnsi="CESI仿宋-GB2312" w:cs="CESI仿宋-GB2312" w:hint="eastAsia" w:eastAsia="CESI仿宋-GB2312"/>
          <w:sz w:val="32"/>
          <w:szCs w:val="32"/>
          <w:lang w:bidi="ar"/>
        </w:rPr>
        <w:t xml:space="preserve">  本规定自</w:t>
      </w:r>
      <w:r>
        <w:rPr>
          <w:rFonts w:eastAsia="CESI仿宋-GB2312" w:cs="CESI仿宋-GB2312" w:hint="eastAsia" w:ascii="Times New Roman" w:hAnsi="Times New Roman"/>
          <w:sz w:val="32"/>
          <w:szCs w:val="32"/>
          <w:lang w:bidi="ar"/>
        </w:rPr>
        <w:t>2022</w:t>
      </w:r>
      <w:r>
        <w:rPr>
          <w:rFonts w:ascii="CESI仿宋-GB2312" w:hAnsi="CESI仿宋-GB2312" w:cs="CESI仿宋-GB2312" w:hint="eastAsia" w:eastAsia="CESI仿宋-GB2312"/>
          <w:sz w:val="32"/>
          <w:szCs w:val="32"/>
          <w:lang w:bidi="ar"/>
        </w:rPr>
        <w:t>年</w:t>
      </w:r>
      <w:r>
        <w:rPr>
          <w:rFonts w:eastAsia="CESI仿宋-GB2312" w:cs="CESI仿宋-GB2312" w:hint="eastAsia" w:ascii="Times New Roman" w:hAnsi="Times New Roman"/>
          <w:sz w:val="32"/>
          <w:szCs w:val="32"/>
          <w:lang w:bidi="ar"/>
        </w:rPr>
        <w:t>7</w:t>
      </w:r>
      <w:r>
        <w:rPr>
          <w:rFonts w:ascii="CESI仿宋-GB2312" w:hAnsi="CESI仿宋-GB2312" w:cs="CESI仿宋-GB2312" w:hint="eastAsia" w:eastAsia="CESI仿宋-GB2312"/>
          <w:sz w:val="32"/>
          <w:szCs w:val="32"/>
          <w:lang w:bidi="ar"/>
        </w:rPr>
        <w:t>月</w:t>
      </w:r>
      <w:r>
        <w:rPr>
          <w:rFonts w:eastAsia="CESI仿宋-GB2312" w:cs="CESI仿宋-GB2312" w:hint="eastAsia" w:ascii="Times New Roman" w:hAnsi="Times New Roman"/>
          <w:sz w:val="32"/>
          <w:szCs w:val="32"/>
          <w:lang w:bidi="ar"/>
        </w:rPr>
        <w:t>1</w:t>
      </w:r>
      <w:r>
        <w:rPr>
          <w:rFonts w:ascii="CESI仿宋-GB2312" w:hAnsi="CESI仿宋-GB2312" w:cs="CESI仿宋-GB2312" w:hint="eastAsia" w:eastAsia="CESI仿宋-GB2312"/>
          <w:sz w:val="32"/>
          <w:szCs w:val="32"/>
          <w:lang w:bidi="ar"/>
        </w:rPr>
        <w:t>日起施行。</w:t>
      </w:r>
    </w:p>
    <w:p>
      <w:pPr>
        <w:pStyle w:val="Normal"/>
        <w:rPr>
          <w:rFonts w:ascii="CESI仿宋-GB2312" w:hAnsi="CESI仿宋-GB2312" w:eastAsia="CESI仿宋-GB2312" w:cs="CESI仿宋-GB2312" w:hint="eastAsia"/>
          <w:color w:val="000000"/>
          <w:kern w:val="0"/>
          <w:sz w:val="32"/>
          <w:szCs w:val="32"/>
        </w:rPr>
      </w:pPr>
      <w:r>
        <w:rPr>
          <w:rFonts w:eastAsia="CESI仿宋-GB2312" w:cs="CESI仿宋-GB2312" w:hint="eastAsia" w:ascii="CESI仿宋-GB2312" w:hAnsi="CESI仿宋-GB2312"/>
          <w:color w:val="000000"/>
          <w:kern w:val="0"/>
          <w:sz w:val="32"/>
          <w:szCs w:val="32"/>
        </w:rPr>
      </w:r>
    </w:p>
    <w:p>
      <w:pPr>
        <w:pStyle w:val="BodyText"/>
        <w:rPr>
          <w:rFonts w:ascii="CESI仿宋-GB2312" w:hAnsi="CESI仿宋-GB2312" w:eastAsia="CESI仿宋-GB2312" w:cs="CESI仿宋-GB2312" w:hint="eastAsia"/>
          <w:sz w:val="32"/>
          <w:szCs w:val="32"/>
        </w:rPr>
      </w:pPr>
      <w:r>
        <w:rPr>
          <w:rFonts w:eastAsia="CESI仿宋-GB2312" w:cs="CESI仿宋-GB2312" w:hint="eastAsia" w:ascii="CESI仿宋-GB2312" w:hAnsi="CESI仿宋-GB2312"/>
          <w:sz w:val="32"/>
          <w:szCs w:val="32"/>
        </w:rPr>
      </w:r>
    </w:p>
    <w:p>
      <w:pPr>
        <w:pStyle w:val="Style15"/>
        <w:rPr>
          <w:rFonts w:ascii="CESI仿宋-GB2312" w:hAnsi="CESI仿宋-GB2312" w:eastAsia="CESI仿宋-GB2312" w:cs="CESI仿宋-GB2312" w:hint="eastAsia"/>
          <w:sz w:val="32"/>
          <w:szCs w:val="32"/>
        </w:rPr>
      </w:pPr>
      <w:r>
        <w:rPr>
          <w:rFonts w:eastAsia="CESI仿宋-GB2312" w:cs="CESI仿宋-GB2312" w:hint="eastAsia" w:ascii="CESI仿宋-GB2312" w:hAnsi="CESI仿宋-GB2312"/>
          <w:sz w:val="32"/>
          <w:szCs w:val="32"/>
        </w:rPr>
      </w:r>
    </w:p>
    <w:p>
      <w:pPr>
        <w:pStyle w:val="Style15"/>
        <w:rPr>
          <w:rFonts w:ascii="CESI仿宋-GB2312" w:hAnsi="CESI仿宋-GB2312" w:eastAsia="CESI仿宋-GB2312" w:cs="CESI仿宋-GB2312" w:hint="eastAsia"/>
          <w:sz w:val="32"/>
          <w:szCs w:val="32"/>
        </w:rPr>
      </w:pPr>
      <w:r>
        <w:rPr>
          <w:rFonts w:eastAsia="CESI仿宋-GB2312" w:cs="CESI仿宋-GB2312" w:hint="eastAsia" w:ascii="CESI仿宋-GB2312" w:hAnsi="CESI仿宋-GB2312"/>
          <w:sz w:val="32"/>
          <w:szCs w:val="32"/>
        </w:rPr>
      </w:r>
    </w:p>
    <w:p>
      <w:pPr>
        <w:pStyle w:val="Style15"/>
        <w:rPr>
          <w:rFonts w:ascii="CESI仿宋-GB2312" w:hAnsi="CESI仿宋-GB2312" w:eastAsia="CESI仿宋-GB2312" w:cs="CESI仿宋-GB2312" w:hint="eastAsia"/>
          <w:sz w:val="32"/>
          <w:szCs w:val="32"/>
        </w:rPr>
      </w:pPr>
      <w:r>
        <w:rPr>
          <w:rFonts w:eastAsia="CESI仿宋-GB2312" w:cs="CESI仿宋-GB2312" w:hint="eastAsia" w:ascii="CESI仿宋-GB2312" w:hAnsi="CESI仿宋-GB2312"/>
          <w:sz w:val="32"/>
          <w:szCs w:val="32"/>
        </w:rPr>
      </w:r>
    </w:p>
    <w:p>
      <w:pPr>
        <w:pStyle w:val="Style15"/>
        <w:rPr>
          <w:rFonts w:ascii="CESI仿宋-GB2312" w:hAnsi="CESI仿宋-GB2312" w:eastAsia="CESI仿宋-GB2312" w:cs="CESI仿宋-GB2312" w:hint="eastAsia"/>
          <w:sz w:val="32"/>
          <w:szCs w:val="32"/>
        </w:rPr>
      </w:pPr>
      <w:r>
        <w:rPr>
          <w:rFonts w:eastAsia="CESI仿宋-GB2312" w:cs="CESI仿宋-GB2312" w:hint="eastAsia" w:ascii="CESI仿宋-GB2312" w:hAnsi="CESI仿宋-GB2312"/>
          <w:sz w:val="32"/>
          <w:szCs w:val="32"/>
        </w:rPr>
      </w:r>
    </w:p>
    <w:p>
      <w:pPr>
        <w:pStyle w:val="Style15"/>
        <w:rPr>
          <w:rFonts w:ascii="CESI仿宋-GB2312" w:hAnsi="CESI仿宋-GB2312" w:eastAsia="CESI仿宋-GB2312" w:cs="CESI仿宋-GB2312" w:hint="eastAsia"/>
          <w:sz w:val="32"/>
          <w:szCs w:val="32"/>
        </w:rPr>
      </w:pPr>
      <w:r>
        <w:rPr>
          <w:rFonts w:eastAsia="CESI仿宋-GB2312" w:cs="CESI仿宋-GB2312" w:hint="eastAsia" w:ascii="CESI仿宋-GB2312" w:hAnsi="CESI仿宋-GB2312"/>
          <w:sz w:val="32"/>
          <w:szCs w:val="32"/>
        </w:rPr>
      </w:r>
    </w:p>
    <w:p>
      <w:pPr>
        <w:pStyle w:val="Style15"/>
        <w:rPr>
          <w:rFonts w:ascii="CESI仿宋-GB2312" w:hAnsi="CESI仿宋-GB2312" w:eastAsia="CESI仿宋-GB2312" w:cs="CESI仿宋-GB2312" w:hint="eastAsia"/>
          <w:sz w:val="32"/>
          <w:szCs w:val="32"/>
        </w:rPr>
      </w:pPr>
      <w:r>
        <w:rPr>
          <w:rFonts w:eastAsia="CESI仿宋-GB2312" w:cs="CESI仿宋-GB2312" w:hint="eastAsia" w:ascii="CESI仿宋-GB2312" w:hAnsi="CESI仿宋-GB2312"/>
          <w:sz w:val="32"/>
          <w:szCs w:val="32"/>
        </w:rPr>
      </w:r>
    </w:p>
    <w:p>
      <w:pPr>
        <w:pStyle w:val="Style15"/>
        <w:rPr>
          <w:rFonts w:ascii="CESI仿宋-GB2312" w:hAnsi="CESI仿宋-GB2312" w:eastAsia="CESI仿宋-GB2312" w:cs="CESI仿宋-GB2312" w:hint="eastAsia"/>
          <w:sz w:val="32"/>
          <w:szCs w:val="32"/>
        </w:rPr>
      </w:pPr>
      <w:r>
        <w:rPr>
          <w:rFonts w:eastAsia="CESI仿宋-GB2312" w:cs="CESI仿宋-GB2312" w:hint="eastAsia" w:ascii="CESI仿宋-GB2312" w:hAnsi="CESI仿宋-GB2312"/>
          <w:sz w:val="32"/>
          <w:szCs w:val="32"/>
        </w:rPr>
      </w:r>
    </w:p>
    <w:p>
      <w:pPr>
        <w:pStyle w:val="Style15"/>
        <w:rPr>
          <w:rFonts w:ascii="CESI仿宋-GB2312" w:hAnsi="CESI仿宋-GB2312" w:eastAsia="CESI仿宋-GB2312" w:cs="CESI仿宋-GB2312" w:hint="eastAsia"/>
          <w:sz w:val="32"/>
          <w:szCs w:val="32"/>
        </w:rPr>
      </w:pPr>
      <w:r>
        <w:rPr>
          <w:rFonts w:eastAsia="CESI仿宋-GB2312" w:cs="CESI仿宋-GB2312" w:hint="eastAsia" w:ascii="CESI仿宋-GB2312" w:hAnsi="CESI仿宋-GB2312"/>
          <w:sz w:val="32"/>
          <w:szCs w:val="32"/>
        </w:rPr>
      </w:r>
    </w:p>
    <w:p>
      <w:pPr>
        <w:pStyle w:val="Style15"/>
        <w:rPr>
          <w:rFonts w:ascii="CESI仿宋-GB2312" w:hAnsi="CESI仿宋-GB2312" w:eastAsia="CESI仿宋-GB2312" w:cs="CESI仿宋-GB2312" w:hint="eastAsia"/>
          <w:sz w:val="32"/>
          <w:szCs w:val="32"/>
        </w:rPr>
      </w:pPr>
      <w:r>
        <w:rPr>
          <w:rFonts w:eastAsia="CESI仿宋-GB2312" w:cs="CESI仿宋-GB2312" w:hint="eastAsia" w:ascii="CESI仿宋-GB2312" w:hAnsi="CESI仿宋-GB2312"/>
          <w:sz w:val="32"/>
          <w:szCs w:val="32"/>
        </w:rPr>
      </w:r>
    </w:p>
    <w:p>
      <w:pPr>
        <w:pStyle w:val="Style15"/>
        <w:rPr>
          <w:rFonts w:ascii="CESI仿宋-GB2312" w:hAnsi="CESI仿宋-GB2312" w:eastAsia="CESI仿宋-GB2312" w:cs="CESI仿宋-GB2312" w:hint="eastAsia"/>
          <w:sz w:val="32"/>
          <w:szCs w:val="32"/>
        </w:rPr>
      </w:pPr>
      <w:r>
        <w:rPr>
          <w:rFonts w:eastAsia="CESI仿宋-GB2312" w:cs="CESI仿宋-GB2312" w:hint="eastAsia" w:ascii="CESI仿宋-GB2312" w:hAnsi="CESI仿宋-GB2312"/>
          <w:sz w:val="32"/>
          <w:szCs w:val="32"/>
        </w:rPr>
      </w:r>
    </w:p>
    <w:p>
      <w:pPr>
        <w:pStyle w:val="Style15"/>
        <w:rPr>
          <w:rFonts w:ascii="CESI仿宋-GB2312" w:hAnsi="CESI仿宋-GB2312" w:eastAsia="CESI仿宋-GB2312" w:cs="CESI仿宋-GB2312" w:hint="eastAsia"/>
          <w:sz w:val="32"/>
          <w:szCs w:val="32"/>
        </w:rPr>
      </w:pPr>
      <w:r>
        <w:rPr>
          <w:rFonts w:eastAsia="CESI仿宋-GB2312" w:cs="CESI仿宋-GB2312" w:hint="eastAsia" w:ascii="CESI仿宋-GB2312" w:hAnsi="CESI仿宋-GB2312"/>
          <w:sz w:val="32"/>
          <w:szCs w:val="32"/>
        </w:rPr>
      </w:r>
    </w:p>
    <w:p>
      <w:pPr>
        <w:pStyle w:val="Style15"/>
        <w:rPr>
          <w:rFonts w:ascii="CESI仿宋-GB2312" w:hAnsi="CESI仿宋-GB2312" w:eastAsia="CESI仿宋-GB2312" w:cs="CESI仿宋-GB2312" w:hint="eastAsia"/>
          <w:sz w:val="32"/>
          <w:szCs w:val="32"/>
        </w:rPr>
      </w:pPr>
      <w:r>
        <w:rPr>
          <w:rFonts w:eastAsia="CESI仿宋-GB2312" w:cs="CESI仿宋-GB2312" w:hint="eastAsia" w:ascii="CESI仿宋-GB2312" w:hAnsi="CESI仿宋-GB2312"/>
          <w:sz w:val="32"/>
          <w:szCs w:val="32"/>
        </w:rPr>
      </w:r>
    </w:p>
    <w:p>
      <w:pPr>
        <w:pStyle w:val="Style15"/>
        <w:rPr>
          <w:rFonts w:ascii="CESI仿宋-GB2312" w:hAnsi="CESI仿宋-GB2312" w:eastAsia="CESI仿宋-GB2312" w:cs="CESI仿宋-GB2312" w:hint="eastAsia"/>
          <w:sz w:val="32"/>
          <w:szCs w:val="32"/>
        </w:rPr>
      </w:pPr>
      <w:r>
        <w:rPr>
          <w:rFonts w:eastAsia="CESI仿宋-GB2312" w:cs="CESI仿宋-GB2312" w:hint="eastAsia" w:ascii="CESI仿宋-GB2312" w:hAnsi="CESI仿宋-GB2312"/>
          <w:sz w:val="32"/>
          <w:szCs w:val="32"/>
        </w:rPr>
      </w:r>
    </w:p>
    <w:p>
      <w:pPr>
        <w:pStyle w:val="Normal"/>
        <w:rPr>
          <w:rFonts w:ascii="CESI仿宋-GB2312" w:hAnsi="CESI仿宋-GB2312" w:eastAsia="CESI仿宋-GB2312" w:cs="CESI仿宋-GB2312" w:hint="eastAsia"/>
          <w:sz w:val="32"/>
          <w:szCs w:val="32"/>
        </w:rPr>
      </w:pPr>
      <w:r>
        <w:rPr>
          <w:rFonts w:eastAsia="CESI仿宋-GB2312" w:cs="CESI仿宋-GB2312" w:hint="eastAsia" w:ascii="CESI仿宋-GB2312" w:hAnsi="CESI仿宋-GB2312"/>
          <w:sz w:val="32"/>
          <w:szCs w:val="32"/>
        </w:rPr>
      </w:r>
    </w:p>
    <w:sectPr>
      <w:footerReference w:type="default" r:id="rId2"/>
      <w:type w:val="nextPage"/>
      <w:pgSz w:w="11906" w:h="16838"/>
      <w:pgMar w:left="1446" w:right="1446" w:gutter="0" w:header="0" w:top="1984" w:footer="1134" w:bottom="164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altName w:val="DejaVu Sans"/>
    <w:charset w:val="00" w:characterSet="windows-1252"/>
    <w:family w:val="swiss"/>
    <w:pitch w:val="default"/>
  </w:font>
  <w:font w:name="Liberation Sans">
    <w:altName w:val="Arial"/>
    <w:charset w:val="01" w:characterSet="utf-8"/>
    <w:family w:val="swiss"/>
    <w:pitch w:val="variable"/>
  </w:font>
  <w:font w:name="Helvetica">
    <w:altName w:val="Arial"/>
    <w:charset w:val="00" w:characterSet="windows-1252"/>
    <w:family w:val="swiss"/>
    <w:pitch w:val="default"/>
  </w:font>
  <w:font w:name="宋体">
    <w:altName w:val="方正书宋_GBK"/>
    <w:charset w:val="00" w:characterSet="windows-1252"/>
    <w:family w:val="auto"/>
    <w:pitch w:val="default"/>
  </w:font>
  <w:font w:name="方正仿宋_GBK">
    <w:charset w:val="86"/>
    <w:family w:val="auto"/>
    <w:pitch w:val="default"/>
  </w:font>
  <w:font w:name="黑体">
    <w:charset w:val="86"/>
    <w:family w:val="auto"/>
    <w:pitch w:val="default"/>
  </w:font>
  <w:font w:name="楷体_GB2312">
    <w:charset w:val="86"/>
    <w:family w:val="modern"/>
    <w:pitch w:val="default"/>
  </w:font>
  <w:font w:name="Times New Roman">
    <w:charset w:val="00" w:characterSet="windows-1252"/>
    <w:family w:val="roman"/>
    <w:pitch w:val="default"/>
  </w:font>
  <w:font w:name="方正黑体_GBK">
    <w:charset w:val="86"/>
    <w:family w:val="auto"/>
    <w:pitch w:val="default"/>
  </w:font>
  <w:font w:name="CESI仿宋-GB2312">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rFonts w:cs="宋体;方正书宋_GBK" w:hint="eastAsia" w:ascii="宋体;方正书宋_GBK" w:hAnsi="宋体;方正书宋_GBK"/>
        <w:sz w:val="28"/>
        <w:szCs w:val="28"/>
      </w:rPr>
      <w:t xml:space="preserve"> </w:t>
    </w:r>
    <w:r>
      <w:rPr>
        <w:rFonts w:cs="Calibri;DejaVu Sans" w:ascii="宋体;方正书宋_GBK" w:hAnsi="宋体;方正书宋_GBK"/>
        <w:sz w:val="28"/>
        <w:szCs w:val="28"/>
      </w:rPr>
      <w:t xml:space="preserve">— </w:t>
    </w:r>
    <w:r>
      <w:rPr>
        <w:rFonts w:cs="Calibri;DejaVu Sans" w:ascii="宋体;方正书宋_GBK" w:hAnsi="宋体;方正书宋_GBK"/>
        <w:sz w:val="28"/>
        <w:szCs w:val="28"/>
      </w:rPr>
      <w:fldChar w:fldCharType="begin"/>
    </w:r>
    <w:r>
      <w:rPr>
        <w:rFonts w:cs="Calibri;DejaVu Sans" w:ascii="宋体;方正书宋_GBK" w:hAnsi="宋体;方正书宋_GBK"/>
        <w:sz w:val="28"/>
        <w:szCs w:val="28"/>
      </w:rPr>
      <w:instrText xml:space="preserve"> PAGE </w:instrText>
    </w:r>
    <w:r>
      <w:rPr>
        <w:rFonts w:cs="Calibri;DejaVu Sans" w:ascii="宋体;方正书宋_GBK" w:hAnsi="宋体;方正书宋_GBK"/>
        <w:sz w:val="28"/>
        <w:szCs w:val="28"/>
      </w:rPr>
      <w:fldChar w:fldCharType="separate"/>
    </w:r>
    <w:r>
      <w:rPr>
        <w:rFonts w:cs="Calibri;DejaVu Sans" w:ascii="宋体;方正书宋_GBK" w:hAnsi="宋体;方正书宋_GBK"/>
        <w:sz w:val="28"/>
        <w:szCs w:val="28"/>
      </w:rPr>
      <w:t>11</w:t>
    </w:r>
    <w:r>
      <w:rPr>
        <w:rFonts w:cs="Calibri;DejaVu Sans" w:ascii="宋体;方正书宋_GBK" w:hAnsi="宋体;方正书宋_GBK"/>
        <w:sz w:val="28"/>
        <w:szCs w:val="28"/>
      </w:rPr>
      <w:fldChar w:fldCharType="end"/>
    </w:r>
    <w:r>
      <w:rPr>
        <w:rFonts w:cs="Calibri;DejaVu Sans" w:ascii="宋体;方正书宋_GBK" w:hAnsi="宋体;方正书宋_GBK"/>
        <w:sz w:val="28"/>
        <w:szCs w:val="28"/>
      </w:rPr>
      <w:t xml:space="preserve"> —</w:t>
    </w:r>
    <w:r>
      <w:rPr>
        <w:rFonts w:cs="Calibri;DejaVu Sans" w:hint="eastAsia" w:ascii="宋体;方正书宋_GBK" w:hAnsi="宋体;方正书宋_GBK"/>
        <w:sz w:val="28"/>
        <w:szCs w:val="28"/>
      </w:rPr>
      <w:t xml:space="preserve">  </w:t>
    </w:r>
  </w:p>
</w:ftr>
</file>

<file path=word/settings.xml><?xml version="1.0" encoding="utf-8"?>
<w:settings xmlns:w="http://schemas.openxmlformats.org/wordprocessingml/2006/main">
  <w:zoom w:percent="12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BodyText"/>
    <w:qFormat/>
    <w:pPr>
      <w:widowControl w:val="false"/>
      <w:bidi w:val="0"/>
      <w:jc w:val="both"/>
    </w:pPr>
    <w:rPr>
      <w:rFonts w:ascii="Calibri;DejaVu Sans" w:hAnsi="Calibri;DejaVu Sans" w:eastAsia="宋体;方正书宋_GBK"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next w:val="Style15"/>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默认"/>
    <w:qFormat/>
    <w:pPr>
      <w:widowControl/>
      <w:bidi w:val="0"/>
    </w:pPr>
    <w:rPr>
      <w:rFonts w:ascii="Helvetica;DejaVu Sans" w:hAnsi="Helvetica;DejaVu Sans" w:eastAsia="宋体;方正书宋_GBK" w:cs="Helvetica;DejaVu Sans"/>
      <w:color w:val="000000"/>
      <w:sz w:val="22"/>
      <w:szCs w:val="22"/>
      <w:lang w:bidi="ar-SA" w:val="en-US" w:eastAsia="zh-CN"/>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Default">
    <w:name w:val="Default"/>
    <w:basedOn w:val="Normal"/>
    <w:qFormat/>
    <w:pPr>
      <w:autoSpaceDE w:val="false"/>
      <w:jc w:val="start"/>
    </w:pPr>
    <w:rPr>
      <w:rFonts w:ascii="宋体;方正书宋_GBK" w:hAnsi="宋体;方正书宋_GBK" w:cs="Times New Roman"/>
      <w:color w:val="000000"/>
      <w:kern w:val="0"/>
      <w:sz w:val="24"/>
    </w:rPr>
  </w:style>
  <w:style w:type="paragraph" w:styleId="ListParagraph">
    <w:name w:val="List Paragraph"/>
    <w:qFormat/>
    <w:pPr>
      <w:widowControl w:val="false"/>
      <w:bidi w:val="0"/>
      <w:ind w:firstLineChars="200" w:startChars="0" w:start="0" w:endChars="0" w:end="0"/>
      <w:jc w:val="both"/>
    </w:pPr>
    <w:rPr>
      <w:rFonts w:ascii="方正仿宋_GBK" w:hAnsi="方正仿宋_GBK" w:eastAsia="方正仿宋_GBK" w:cs="Times New Roman"/>
      <w:color w:val="auto"/>
      <w:kern w:val="2"/>
      <w:sz w:val="21"/>
      <w:szCs w:val="21"/>
      <w:lang w:bidi="ar-SA" w:val="en-US" w:eastAsia="zh-CN"/>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2400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2022-06-16T08:30:00Z</dcterms:created>
  <dc:creator>guest</dc:creator>
  <dc:description/>
  <dc:language>en-US</dc:language>
  <cp:lastModifiedBy>guest</cp:lastModifiedBy>
  <dcterms:modified xsi:type="dcterms:W3CDTF">2022-08-10T00:28:34Z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2052-11.8.2.10251</vt:lpwstr>
  </property>
</Properties>
</file>