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F253F9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西安市人民代表大会常务委员会关于修改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《西安市特种行业治安管理条例》等六部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71A69D8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（2025年10月29日西安市第十七届人民代表大会常务委员会第二十七次会议通过　2025年11月28日陕西省第十四届人民代表大会常务委员会第十九次会议批准）</w:t>
      </w:r>
    </w:p>
    <w:p w14:paraId="50D0612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西安市第十七届人民代表大会常务委员会第二十七次会议决定：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一、对《西安市特种行业治安管理条例》作出修改</w:t>
      </w:r>
    </w:p>
    <w:p w14:paraId="42651B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（一）删除第八条中的“公章刻制业”。</w:t>
      </w:r>
    </w:p>
    <w:p w14:paraId="07C7DB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一条修改为：“已经取得《特种行业许可证》的经营者，改建、扩建营业场所，变更名称、地址、布局设施、法定代表人或者负责人，停业、转业、合并的，应当在市场监管部门办理变更登记后三个工作日内向营业场所所在地的区县或者开发区公安机关备案。”</w:t>
      </w:r>
    </w:p>
    <w:p w14:paraId="1E0ABF4F">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款，作为第十二条第一款：“公章刻制业经营者应当在取得营业执照之日起五个工作日内向营业场所所在地的区县或者开发区公安机关备案。提供按摩服务的洗浴、足浴等经营性休闲场所和废旧金属收购业经营者，应当在取得营业执照之日起十五个工作日内向营业场所所在地的区县或者开发区公安机关备案。”</w:t>
      </w:r>
    </w:p>
    <w:p w14:paraId="0B29C03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一款改为第二款，该款中的“提供按摩服务的洗浴、足浴等经营性休闲场所的经营者，应当在取得营业执照之日起十五个工作日内向营业场所所在地的区县或者开发区公安机关备案，并提交下列材料”修改为“提供按摩服务的洗浴、足浴等经营性休闲场所经营者备案时提交下列材料”。</w:t>
      </w:r>
    </w:p>
    <w:p w14:paraId="6FA3D99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（四）将第十四条第一款修改为：“已经备案的特种行业经营者备案信息发生变化的，应当自有关变化发生之日起十五个工作日内向原备案公安机关更新备案信息。”</w:t>
      </w:r>
    </w:p>
    <w:p w14:paraId="101EA3C2">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增加一款，作为第二款：“已经备案的特种行业经营者终止业务的，应当及时向公安机关办理备案注销。”</w:t>
      </w:r>
    </w:p>
    <w:p w14:paraId="3A93C67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（五）将第二十二条第二项修改为：“（二）不得委托其他单位和个人刻制，不得自行留样、仿制或私自翻印”。</w:t>
      </w:r>
    </w:p>
    <w:p w14:paraId="270539C6">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第三项修改为：“（三）公章刻制后一个工作日内，将用章单位、公章刻制申请人等基本信息及印模、刻制公章的证明材料报营业场所所在地的区县或者开发区公安机关备案”。</w:t>
      </w:r>
    </w:p>
    <w:p w14:paraId="0363AA3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（六）将第二十三条修改为：“废旧金属收购业经营者应当遵守下列规定：</w:t>
      </w:r>
    </w:p>
    <w:p w14:paraId="17FB7D8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“（一）不得在矿区、油田、港口、机场、施工工地、军事禁区、金属冶炼加工企业周边和铁路沿线附近设点收购废旧金属；</w:t>
      </w:r>
    </w:p>
    <w:p w14:paraId="5BC48094">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查验登记制度，收购生产性废旧金属应当查验出售单位开具的证明，如实登记留存出售单位的名称和经办人的姓名、住址、身份证号码以及交易物品的名称、数量、规格、新旧程度等信息，并接受公安机关的治安检查；</w:t>
      </w:r>
    </w:p>
    <w:p w14:paraId="3678EF3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“（三）不得收购铁路、油田、供电、电信通讯、矿山、水利、测量和市政公用设施等废旧专用器材；</w:t>
      </w:r>
    </w:p>
    <w:p w14:paraId="0D838EF4">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“（四）不得收购枪支、弹药，易燃、易爆物品，剧毒、放射性物品及其容器和公安机关通报寻查的赃物或者有赃物嫌疑的物品；</w:t>
      </w:r>
    </w:p>
    <w:p w14:paraId="70758FFF">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“（五）不得收购国家禁止收购的其他物品。”</w:t>
      </w:r>
    </w:p>
    <w:p w14:paraId="0A44630F">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（七）删除第三十二条中的“公章刻制业”。</w:t>
      </w:r>
    </w:p>
    <w:p w14:paraId="3C841EA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（八）将第三十五条修改为：“提供按摩服务的洗浴、足浴等经营性休闲场所经营者违反本条例第十二条、第十四条规定的，责令限期改正；逾期不改正的，处五百元以上二千元以下罚款。”</w:t>
      </w:r>
    </w:p>
    <w:p w14:paraId="3AC0731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（九）将第三十九条改为第三十八条，删除该条中的“情节严重的，吊销《特种行业许可证》”。</w:t>
      </w:r>
    </w:p>
    <w:p w14:paraId="53E4DC46">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（十）删除第四十条。</w:t>
      </w:r>
    </w:p>
    <w:p w14:paraId="20F285C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（十一）删除第四十一条。</w:t>
      </w:r>
    </w:p>
    <w:p w14:paraId="145943E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（十二）将第四十二条改为第三十九条，将第三十八条修改后作为本条第二款：“违反本条例第二十五条第二项规定的，处二百元以上五百元以下罚款。”</w:t>
      </w:r>
    </w:p>
    <w:p w14:paraId="5BEBCED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三条改为第四十条，增加一款，作为第二款：“违反本条例第二十六条第二款规定的，对其直接负责的主管人员和其他直接责任人员处五百元以上一千元以下罚款；情节较轻的，处警告或者五百元以下罚款。”</w:t>
      </w:r>
    </w:p>
    <w:p w14:paraId="61B6551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二、对《西安市档案管理条例》作出修改</w:t>
      </w:r>
    </w:p>
    <w:p w14:paraId="417693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五条第二项修改为：“（二）属于非国有企业、社会服务机构等单位和个人形成的档案，对国家和社会具有重要保存价值或者应当保密的，档案所有者应当妥善保管。对保管条件不符合要求或者存在其他原因可能导致档案严重损毁和不安全的，有权的档案主管部门可以与档案所有者协商，指定档案馆代为保管，或者采取确保档案完整和安全的其他措施，必要时可以依法收购或者征购；”</w:t>
      </w:r>
    </w:p>
    <w:p w14:paraId="3861B31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八条第一款修改为：“机关、团体、企业事业单位和其他组织应当定期对本单位保管的保管期限届满的档案进行鉴定，形成鉴定工作报告。经鉴定仍需继续保存的档案，应当重新划定保管期限并作出标注。经鉴定需要销毁的档案，其销毁工作应当遵守国家有关规定。”</w:t>
      </w:r>
    </w:p>
    <w:p w14:paraId="563DB1D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九条第二款修改为：“属于非国有企业、社会服务机构等单位和个人形成的档案，对国家和社会具有重要保存价值或者应当保密的，档案所有者可以向国家档案馆捐赠、寄存或者出卖。严禁向外国人和外国组织出卖或者赠送。”</w:t>
      </w:r>
    </w:p>
    <w:p w14:paraId="05B3D564">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删除第三款、第四款。</w:t>
      </w:r>
    </w:p>
    <w:p w14:paraId="55B5F7C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（四）将第三十九条第一款修改为：“违反本条例规定，有下列行为之一的，由市、区县档案主管部门责令限期改正；对直接负责的主管人员和其他直接责任人员依法给予处分；构成犯罪的，依法追究刑事责任：</w:t>
      </w:r>
    </w:p>
    <w:p w14:paraId="0BFD315D">
      <w:pPr>
        <w:ind w:firstLine="632" w:firstLineChars="200"/>
        <w:rPr>
          <w:rFonts w:ascii="Times New Roman" w:hAnsi="Times New Roman" w:cs="仿宋_GB2312"/>
          <w:sz w:val="32"/>
          <w:szCs w:val="32"/>
        </w:rPr>
      </w:pPr>
      <w:r>
        <w:rPr>
          <w:rFonts w:hint="eastAsia" w:ascii="Times New Roman" w:hAnsi="Times New Roman" w:cs="仿宋_GB2312"/>
          <w:sz w:val="32"/>
          <w:szCs w:val="32"/>
        </w:rPr>
        <w:t>“（一）篡改、损毁、伪造档案或者擅自销毁档案的；</w:t>
      </w:r>
    </w:p>
    <w:p w14:paraId="33920CBE">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“（二）擅自提供、抄录、复制、公布属于国家所有的档案的；</w:t>
      </w:r>
    </w:p>
    <w:p w14:paraId="091D14DA">
      <w:pPr>
        <w:ind w:firstLine="632" w:firstLineChars="200"/>
        <w:rPr>
          <w:rFonts w:ascii="Times New Roman" w:hAnsi="Times New Roman" w:cs="仿宋_GB2312"/>
          <w:sz w:val="32"/>
          <w:szCs w:val="32"/>
        </w:rPr>
      </w:pPr>
      <w:r>
        <w:rPr>
          <w:rFonts w:hint="eastAsia" w:ascii="Times New Roman" w:hAnsi="Times New Roman" w:cs="仿宋_GB2312"/>
          <w:sz w:val="32"/>
          <w:szCs w:val="32"/>
        </w:rPr>
        <w:t>“（三）买卖或者非法转让属于国家所有的档案的；</w:t>
      </w:r>
    </w:p>
    <w:p w14:paraId="144451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“（四）将档案出卖、赠送给外国人或者外国组织的；</w:t>
      </w:r>
    </w:p>
    <w:p w14:paraId="7A104B7D">
      <w:pPr>
        <w:ind w:firstLine="632" w:firstLineChars="200"/>
        <w:rPr>
          <w:rFonts w:ascii="Times New Roman" w:hAnsi="Times New Roman" w:cs="仿宋_GB2312"/>
          <w:sz w:val="32"/>
          <w:szCs w:val="32"/>
        </w:rPr>
      </w:pPr>
      <w:r>
        <w:rPr>
          <w:rFonts w:hint="eastAsia" w:ascii="Times New Roman" w:hAnsi="Times New Roman" w:cs="仿宋_GB2312"/>
          <w:sz w:val="32"/>
          <w:szCs w:val="32"/>
        </w:rPr>
        <w:t>“（五）档案管理人员玩忽职守，造成档案损毁、灭失的。”</w:t>
      </w:r>
    </w:p>
    <w:p w14:paraId="1E24B266">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删除第二款中的“第三项”。</w:t>
      </w:r>
    </w:p>
    <w:p w14:paraId="1915047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将第三款中的“第一款第四项、第五项、第六项”修改为“第一款第三项、第四项”，删除该款中的“转让、交换”。</w:t>
      </w:r>
    </w:p>
    <w:p w14:paraId="20208D52">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（五）增加一条，作为第四十四条：“违反本条例规定的其他行为，法律法规有法律责任规定的，适用其规定。”</w:t>
      </w:r>
    </w:p>
    <w:p w14:paraId="57D781F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三、对《西安市村镇建设条例》作出修改</w:t>
      </w:r>
    </w:p>
    <w:p w14:paraId="4D9DCF3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四条第一款修改为：“新建、改建、扩建村镇基础设施、公共设施，依法必须通过招投标方式确定勘察、设计、施工、监理单位的，建设单位应当在区县住房建设行政主管部门的指导下予以确定。”</w:t>
      </w:r>
    </w:p>
    <w:p w14:paraId="08AE76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（二）将二十七条第二款中的“临时用地期限不得超过一年，”修改为“临时用地期限一般不超过二年”。</w:t>
      </w:r>
    </w:p>
    <w:p w14:paraId="6AC5A9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（三）删除第四十六条。</w:t>
      </w:r>
    </w:p>
    <w:p w14:paraId="3F5FAF5B">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（四）增加一条，作为第五十五条：“违反本条例规定的其他行为，法律法规有法律责任规定的，适用其规定。”</w:t>
      </w:r>
    </w:p>
    <w:p w14:paraId="68FBD6C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四、对《西安市建设工程勘察设计管理条例》作出修改</w:t>
      </w:r>
    </w:p>
    <w:p w14:paraId="0B1C1F4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二条第一款修改为：“关系社会公共利益和公众安全的基础设施项目、公用事业项目，使用国有资金投资项目、国家融资项目，使用国际组织或者外国政府贷款、援助资金项目的建设工程勘察、设计，应当依法进行招标发包。”</w:t>
      </w:r>
    </w:p>
    <w:p w14:paraId="2C944EA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五、对《西安市民用建筑节能条例》作出修改</w:t>
      </w:r>
    </w:p>
    <w:p w14:paraId="25582A4F">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删除第十八条。</w:t>
      </w:r>
    </w:p>
    <w:p w14:paraId="42CD2D6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六、对《西安市城市绿化条例》作出修改</w:t>
      </w:r>
    </w:p>
    <w:p w14:paraId="104ACD4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（一）将第二十条第一款修改为：“城市绿化工程的设计，应当委托持有相应资格证书的设计单位承担。”</w:t>
      </w:r>
    </w:p>
    <w:p w14:paraId="61B8E1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（二）删除第四十三条。</w:t>
      </w:r>
    </w:p>
    <w:p w14:paraId="29D49170">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（三）增加一条，作为第四十九条：“违反本条例规定的其他行为，法律法规有法律责任规定的，适用其规定。”</w:t>
      </w:r>
    </w:p>
    <w:p w14:paraId="36B3BD37">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根据修改情况，对六部地方性法规的有关文字表述、标点符号作相应规范，对有关条文顺序作相应调整。</w:t>
      </w:r>
    </w:p>
    <w:p w14:paraId="5092F21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CAFCA54">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市特种行业治安管理条例》《西安市档案管理条例》《西安市村镇建设条例》《西安市建设工程勘察设计管理条例》《西安市民用建筑节能条例》《西安市城市绿化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7C6116B"/>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2893</Words>
  <Characters>2903</Characters>
  <Lines>87</Lines>
  <Paragraphs>24</Paragraphs>
  <TotalTime>2</TotalTime>
  <ScaleCrop>false</ScaleCrop>
  <LinksUpToDate>false</LinksUpToDate>
  <CharactersWithSpaces>2904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2026-03-19T08:30:55Z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