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宁夏回族自治区城市绿化管理条例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1" w:startChars="303" w:endChars="317"/>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1997</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8</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21</w:t>
      </w:r>
      <w:r>
        <w:rPr>
          <w:rFonts w:ascii="楷体_GB2312" w:hAnsi="楷体_GB2312" w:cs="楷体_GB2312" w:hint="eastAsia" w:eastAsia="楷体_GB2312"/>
          <w:w w:val="102"/>
          <w:sz w:val="32"/>
          <w:szCs w:val="32"/>
        </w:rPr>
        <w:t>日宁夏回族自治区第七届人民代表大会常务委员会第二十六次会议通过  根据</w:t>
      </w:r>
      <w:r>
        <w:rPr>
          <w:rFonts w:eastAsia="楷体_GB2312" w:cs="楷体_GB2312" w:hint="eastAsia" w:ascii="楷体_GB2312" w:hAnsi="楷体_GB2312"/>
          <w:w w:val="102"/>
          <w:sz w:val="32"/>
          <w:szCs w:val="32"/>
        </w:rPr>
        <w:t>2006</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3</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31</w:t>
      </w:r>
      <w:r>
        <w:rPr>
          <w:rFonts w:ascii="楷体_GB2312" w:hAnsi="楷体_GB2312" w:cs="楷体_GB2312" w:hint="eastAsia" w:eastAsia="楷体_GB2312"/>
          <w:w w:val="102"/>
          <w:sz w:val="32"/>
          <w:szCs w:val="32"/>
        </w:rPr>
        <w:t>日宁夏回族自治区第九届人民代表大会常务委员会第二十一次会议《关于修改</w:t>
      </w:r>
      <w:r>
        <w:rPr>
          <w:rFonts w:eastAsia="楷体_GB2312" w:cs="楷体_GB2312" w:hint="eastAsia" w:ascii="楷体_GB2312" w:hAnsi="楷体_GB2312"/>
          <w:w w:val="102"/>
          <w:sz w:val="32"/>
          <w:szCs w:val="32"/>
        </w:rPr>
        <w:t>&lt;</w:t>
      </w:r>
      <w:r>
        <w:rPr>
          <w:rFonts w:ascii="楷体_GB2312" w:hAnsi="楷体_GB2312" w:cs="楷体_GB2312" w:hint="eastAsia" w:eastAsia="楷体_GB2312"/>
          <w:w w:val="102"/>
          <w:sz w:val="32"/>
          <w:szCs w:val="32"/>
        </w:rPr>
        <w:t>宁夏回族自治区矿产资源管理条例</w:t>
      </w:r>
      <w:r>
        <w:rPr>
          <w:rFonts w:eastAsia="楷体_GB2312" w:cs="楷体_GB2312" w:hint="eastAsia" w:ascii="楷体_GB2312" w:hAnsi="楷体_GB2312"/>
          <w:w w:val="102"/>
          <w:sz w:val="32"/>
          <w:szCs w:val="32"/>
        </w:rPr>
        <w:t>&gt;</w:t>
      </w:r>
      <w:r>
        <w:rPr>
          <w:rFonts w:ascii="楷体_GB2312" w:hAnsi="楷体_GB2312" w:cs="楷体_GB2312" w:hint="eastAsia" w:eastAsia="楷体_GB2312"/>
          <w:w w:val="102"/>
          <w:sz w:val="32"/>
          <w:szCs w:val="32"/>
        </w:rPr>
        <w:t>等</w:t>
      </w:r>
      <w:r>
        <w:rPr>
          <w:rFonts w:eastAsia="楷体_GB2312" w:cs="楷体_GB2312" w:hint="eastAsia" w:ascii="楷体_GB2312" w:hAnsi="楷体_GB2312"/>
          <w:w w:val="102"/>
          <w:sz w:val="32"/>
          <w:szCs w:val="32"/>
        </w:rPr>
        <w:t>12</w:t>
      </w:r>
      <w:r>
        <w:rPr>
          <w:rFonts w:ascii="楷体_GB2312" w:hAnsi="楷体_GB2312" w:cs="楷体_GB2312" w:hint="eastAsia" w:eastAsia="楷体_GB2312"/>
          <w:w w:val="102"/>
          <w:sz w:val="32"/>
          <w:szCs w:val="32"/>
        </w:rPr>
        <w:t>件地方性法规的决定》第一次修正  根据</w:t>
      </w:r>
      <w:r>
        <w:rPr>
          <w:rFonts w:eastAsia="楷体_GB2312" w:cs="楷体_GB2312" w:hint="eastAsia" w:ascii="楷体_GB2312" w:hAnsi="楷体_GB2312"/>
          <w:w w:val="102"/>
          <w:sz w:val="32"/>
          <w:szCs w:val="32"/>
        </w:rPr>
        <w:t>2012</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3</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29</w:t>
      </w:r>
      <w:r>
        <w:rPr>
          <w:rFonts w:ascii="楷体_GB2312" w:hAnsi="楷体_GB2312" w:cs="楷体_GB2312" w:hint="eastAsia" w:eastAsia="楷体_GB2312"/>
          <w:w w:val="102"/>
          <w:sz w:val="32"/>
          <w:szCs w:val="32"/>
        </w:rPr>
        <w:t>日宁夏回族自治区第十届人民代表大会常委委员会第二十九次会议《关于修改十五件地方性法规的决定》第二次修正  根据</w:t>
      </w:r>
      <w:r>
        <w:rPr>
          <w:rFonts w:eastAsia="楷体_GB2312" w:cs="楷体_GB2312" w:hint="eastAsia" w:ascii="楷体_GB2312" w:hAnsi="楷体_GB2312"/>
          <w:w w:val="102"/>
          <w:sz w:val="32"/>
          <w:szCs w:val="32"/>
        </w:rPr>
        <w:t>2015</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3</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31</w:t>
      </w:r>
      <w:r>
        <w:rPr>
          <w:rFonts w:ascii="楷体_GB2312" w:hAnsi="楷体_GB2312" w:cs="楷体_GB2312" w:hint="eastAsia" w:eastAsia="楷体_GB2312"/>
          <w:w w:val="102"/>
          <w:sz w:val="32"/>
          <w:szCs w:val="32"/>
        </w:rPr>
        <w:t>日宁夏回族自治区第十一届人民代表大会常委委员会第十六次会议《关于修改</w:t>
      </w:r>
      <w:r>
        <w:rPr>
          <w:rFonts w:eastAsia="楷体_GB2312" w:cs="楷体_GB2312" w:hint="eastAsia" w:ascii="楷体_GB2312" w:hAnsi="楷体_GB2312"/>
          <w:w w:val="102"/>
          <w:sz w:val="32"/>
          <w:szCs w:val="32"/>
        </w:rPr>
        <w:t>&lt;</w:t>
      </w:r>
      <w:r>
        <w:rPr>
          <w:rFonts w:ascii="楷体_GB2312" w:hAnsi="楷体_GB2312" w:cs="楷体_GB2312" w:hint="eastAsia" w:eastAsia="楷体_GB2312"/>
          <w:w w:val="102"/>
          <w:sz w:val="32"/>
          <w:szCs w:val="32"/>
        </w:rPr>
        <w:t>宁夏回族自治区城市绿化管理条例</w:t>
      </w:r>
      <w:r>
        <w:rPr>
          <w:rFonts w:eastAsia="楷体_GB2312" w:cs="楷体_GB2312" w:hint="eastAsia" w:ascii="楷体_GB2312" w:hAnsi="楷体_GB2312"/>
          <w:w w:val="102"/>
          <w:sz w:val="32"/>
          <w:szCs w:val="32"/>
        </w:rPr>
        <w:t>&gt;</w:t>
      </w:r>
      <w:r>
        <w:rPr>
          <w:rFonts w:ascii="楷体_GB2312" w:hAnsi="楷体_GB2312" w:cs="楷体_GB2312" w:hint="eastAsia" w:eastAsia="楷体_GB2312"/>
          <w:w w:val="102"/>
          <w:sz w:val="32"/>
          <w:szCs w:val="32"/>
        </w:rPr>
        <w:t>的决定》第三次修正）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 xml:space="preserve">第一章  总则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规划和建设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保护和管理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为了促进我区城市绿化事业的发展，改善城市生态环境，美化城市生活环境，根据国家有关法律、法规，结合自治区实际，制定本条例。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本条例适用于在本自治区城市规划区内种植和养护树木花草等城市绿化的规划、建设、保护和管理。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城市人民政府应当实行绿化领导责任制，加强城市绿化教育，提高全民绿化意识，鼓励单位和个人种植花草树木，推广先进技术，提高城市绿化的科学和艺术水平。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对在城市绿化工作中作出显著成绩的单位和个人，由城市人民政府给予表彰和奖励。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县级以上各级人民政府建设行政主管部门或者园林绿化行政主管部门（以下统称城市绿化行政主管部门），主管本行政区域内城市规划区的城市绿化工作。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各级城建监察机构受城市绿化行政主管部门的委托，依法实施城市绿化监察。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在城市规划区内，法律、法规规定由林业行政主管部门管理的绿化工作，按其规定执行。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城市中的单位和有劳动能力的公民，应当按照国家有关规定履行植树或者其他绿化义务。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任何单位和个人都有权对违反本条例的行为进行劝阻、检举和控告。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规划和建设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城市人民政府应当把城市绿化建设纳入国民经济和社会发展计划，组织城市规划行政主管部门和城市绿化行政主管部门共同编制城市绿化规划，并将城市绿化规划纳入城市总体规划，制定出分期实施计划，由城市绿化行政主管部门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编制城市绿化规划和进行城市绿化建设，应当根据城市的自然特点和防治环境污染、风沙灾害等需要，设置不同类型的防护绿地。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城市新建、扩建、改建工程必须安排一定的绿化用地，其所占建设用地面积的比例为：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（一）新建居住区不低于</w:t>
      </w:r>
      <w:r>
        <w:rPr>
          <w:rFonts w:eastAsia="仿宋_GB2312" w:cs="仿宋_GB2312" w:hint="eastAsia" w:ascii="仿宋_GB2312" w:hAnsi="仿宋_GB2312"/>
          <w:w w:val="102"/>
          <w:sz w:val="32"/>
          <w:szCs w:val="32"/>
        </w:rPr>
        <w:t>30</w:t>
      </w:r>
      <w:r>
        <w:rPr>
          <w:rFonts w:ascii="仿宋_GB2312" w:hAnsi="仿宋_GB2312" w:cs="仿宋_GB2312" w:hint="eastAsia" w:eastAsia="仿宋_GB2312"/>
          <w:w w:val="102"/>
          <w:sz w:val="32"/>
          <w:szCs w:val="32"/>
        </w:rPr>
        <w:t>％，旧城改建区不低于</w:t>
      </w:r>
      <w:r>
        <w:rPr>
          <w:rFonts w:eastAsia="仿宋_GB2312" w:cs="仿宋_GB2312" w:hint="eastAsia" w:ascii="仿宋_GB2312" w:hAnsi="仿宋_GB2312"/>
          <w:w w:val="102"/>
          <w:sz w:val="32"/>
          <w:szCs w:val="32"/>
        </w:rPr>
        <w:t>25</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（二）新建市区主干道不低于</w:t>
      </w:r>
      <w:r>
        <w:rPr>
          <w:rFonts w:eastAsia="仿宋_GB2312" w:cs="仿宋_GB2312" w:hint="eastAsia" w:ascii="仿宋_GB2312" w:hAnsi="仿宋_GB2312"/>
          <w:w w:val="102"/>
          <w:sz w:val="32"/>
          <w:szCs w:val="32"/>
        </w:rPr>
        <w:t>20</w:t>
      </w:r>
      <w:r>
        <w:rPr>
          <w:rFonts w:ascii="仿宋_GB2312" w:hAnsi="仿宋_GB2312" w:cs="仿宋_GB2312" w:hint="eastAsia" w:eastAsia="仿宋_GB2312"/>
          <w:w w:val="102"/>
          <w:sz w:val="32"/>
          <w:szCs w:val="32"/>
        </w:rPr>
        <w:t>％，次干道不低于</w:t>
      </w:r>
      <w:r>
        <w:rPr>
          <w:rFonts w:eastAsia="仿宋_GB2312" w:cs="仿宋_GB2312" w:hint="eastAsia" w:ascii="仿宋_GB2312" w:hAnsi="仿宋_GB2312"/>
          <w:w w:val="102"/>
          <w:sz w:val="32"/>
          <w:szCs w:val="32"/>
        </w:rPr>
        <w:t>15</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（三）新建学校、医院、疗养院所、公共文化设施和机关团体等单位不低于</w:t>
      </w:r>
      <w:r>
        <w:rPr>
          <w:rFonts w:eastAsia="仿宋_GB2312" w:cs="仿宋_GB2312" w:hint="eastAsia" w:ascii="仿宋_GB2312" w:hAnsi="仿宋_GB2312"/>
          <w:w w:val="102"/>
          <w:sz w:val="32"/>
          <w:szCs w:val="32"/>
        </w:rPr>
        <w:t>30</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（四）新建经济技术开发区不低于</w:t>
      </w:r>
      <w:r>
        <w:rPr>
          <w:rFonts w:eastAsia="仿宋_GB2312" w:cs="仿宋_GB2312" w:hint="eastAsia" w:ascii="仿宋_GB2312" w:hAnsi="仿宋_GB2312"/>
          <w:w w:val="102"/>
          <w:sz w:val="32"/>
          <w:szCs w:val="32"/>
        </w:rPr>
        <w:t>30</w:t>
      </w:r>
      <w:r>
        <w:rPr>
          <w:rFonts w:ascii="仿宋_GB2312" w:hAnsi="仿宋_GB2312" w:cs="仿宋_GB2312" w:hint="eastAsia" w:eastAsia="仿宋_GB2312"/>
          <w:w w:val="102"/>
          <w:sz w:val="32"/>
          <w:szCs w:val="32"/>
        </w:rPr>
        <w:t>％，工矿企业不低于</w:t>
      </w:r>
      <w:r>
        <w:rPr>
          <w:rFonts w:eastAsia="仿宋_GB2312" w:cs="仿宋_GB2312" w:hint="eastAsia" w:ascii="仿宋_GB2312" w:hAnsi="仿宋_GB2312"/>
          <w:w w:val="102"/>
          <w:sz w:val="32"/>
          <w:szCs w:val="32"/>
        </w:rPr>
        <w:t>25</w:t>
      </w:r>
      <w:r>
        <w:rPr>
          <w:rFonts w:ascii="仿宋_GB2312" w:hAnsi="仿宋_GB2312" w:cs="仿宋_GB2312" w:hint="eastAsia" w:eastAsia="仿宋_GB2312"/>
          <w:w w:val="102"/>
          <w:sz w:val="32"/>
          <w:szCs w:val="32"/>
        </w:rPr>
        <w:t>％，产生有毒有害物质，污染环境的工厂不低于</w:t>
      </w:r>
      <w:r>
        <w:rPr>
          <w:rFonts w:eastAsia="仿宋_GB2312" w:cs="仿宋_GB2312" w:hint="eastAsia" w:ascii="仿宋_GB2312" w:hAnsi="仿宋_GB2312"/>
          <w:w w:val="102"/>
          <w:sz w:val="32"/>
          <w:szCs w:val="32"/>
        </w:rPr>
        <w:t>35</w:t>
      </w:r>
      <w:r>
        <w:rPr>
          <w:rFonts w:ascii="仿宋_GB2312" w:hAnsi="仿宋_GB2312" w:cs="仿宋_GB2312" w:hint="eastAsia" w:eastAsia="仿宋_GB2312"/>
          <w:w w:val="102"/>
          <w:sz w:val="32"/>
          <w:szCs w:val="32"/>
        </w:rPr>
        <w:t>％，并在其周围营造卫生防护林带；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（五）城市商业区不低于</w:t>
      </w:r>
      <w:r>
        <w:rPr>
          <w:rFonts w:eastAsia="仿宋_GB2312" w:cs="仿宋_GB2312" w:hint="eastAsia" w:ascii="仿宋_GB2312" w:hAnsi="仿宋_GB2312"/>
          <w:w w:val="102"/>
          <w:sz w:val="32"/>
          <w:szCs w:val="32"/>
        </w:rPr>
        <w:t>20</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（六）其他工程建设项目地处城市建成区的，不低于</w:t>
      </w:r>
      <w:r>
        <w:rPr>
          <w:rFonts w:eastAsia="仿宋_GB2312" w:cs="仿宋_GB2312" w:hint="eastAsia" w:ascii="仿宋_GB2312" w:hAnsi="仿宋_GB2312"/>
          <w:w w:val="102"/>
          <w:sz w:val="32"/>
          <w:szCs w:val="32"/>
        </w:rPr>
        <w:t>25</w:t>
      </w:r>
      <w:r>
        <w:rPr>
          <w:rFonts w:ascii="仿宋_GB2312" w:hAnsi="仿宋_GB2312" w:cs="仿宋_GB2312" w:hint="eastAsia" w:eastAsia="仿宋_GB2312"/>
          <w:w w:val="102"/>
          <w:sz w:val="32"/>
          <w:szCs w:val="32"/>
        </w:rPr>
        <w:t>％，地处城市建成区以外的不低于</w:t>
      </w:r>
      <w:r>
        <w:rPr>
          <w:rFonts w:eastAsia="仿宋_GB2312" w:cs="仿宋_GB2312" w:hint="eastAsia" w:ascii="仿宋_GB2312" w:hAnsi="仿宋_GB2312"/>
          <w:w w:val="102"/>
          <w:sz w:val="32"/>
          <w:szCs w:val="32"/>
        </w:rPr>
        <w:t>30</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创建国家园林城市的，按照国家园林城市标准执行。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第九条 </w:t>
      </w:r>
      <w:r>
        <w:rPr>
          <w:rFonts w:ascii="仿宋_GB2312" w:hAnsi="仿宋_GB2312" w:cs="仿宋_GB2312" w:hint="eastAsia" w:eastAsia="仿宋_GB2312"/>
          <w:w w:val="102"/>
          <w:sz w:val="32"/>
          <w:szCs w:val="32"/>
        </w:rPr>
        <w:t xml:space="preserve"> 城市苗圃、花圃、草圃等生产绿地建设，应当适应本城市绿化建设的需要，其面积不得少于城市建成区总面积的２％。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xml:space="preserve">  城市中的各项建设，必须按照国家规定和绿化规划留足绿化用地。城市规划行政主管部门和土地管理部门，应当严格按照绿化用地规定所占比例，审批建设项目规划方案，以确保城市绿化用地面积。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城市中的现有单位或者居住区绿地面积低于本条例第八条有关规定并有空地的，必须留足绿化用地面积后，方可进行其他建设。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城市中现有街道和建筑物周围绿化面积不足或者无绿化面积的，应当采取平面绿化、垂直绿化等多种措施进行绿化。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城市新建、扩建、改建工程项目和开发住宅小区，其基本建设投资中必须包括配套的绿化建设投资。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机关、团体、企事业单位，应当根据本单位的绿化需要和有关规定，安排绿化经费。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工程建设项目的附属绿化工程设计方案，按照基本建设程序审批时，必须有城市绿化行政主管部门参加审查、同意。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城市的绿地、居住区绿地、风景林地和干道绿化带等绿化工程的设计方案，必须报当地城市绿化行政主管部门备案。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单位附属绿地的绿化规划和建设，由该单位自行负责，城市绿化行政主管部门进行监督检查，并给予技术指导。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xml:space="preserve">  城市绿化工程的设计应当委托持有相应资格证书的单位承担，设计方案应当体现民族风格和地方特色，以适应本地区自然条件的植物造景为主，实行乔木和灌木、常绿树和落叶树、树木和花草、平面绿化和垂直绿化相结合，并适当配置泉、石、雕塑等景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城市绿化工程的施工，应当委托持有相应资格证书的单位承担，并按照设计方案进行施工。城市绿化工程建成后，建设单位应当会同有关单位按绿化设计方案对工程进行验收。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城市工程建设项目的附属绿化工程，应当由建设单位在工程建设项目主体工程投入使用后的第二个绿化季节内完成。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第十七条 </w:t>
      </w:r>
      <w:r>
        <w:rPr>
          <w:rFonts w:ascii="仿宋_GB2312" w:hAnsi="仿宋_GB2312" w:cs="仿宋_GB2312" w:hint="eastAsia" w:eastAsia="仿宋_GB2312"/>
          <w:w w:val="102"/>
          <w:sz w:val="32"/>
          <w:szCs w:val="32"/>
        </w:rPr>
        <w:t xml:space="preserve"> 工程建设项目除商业区、居住区外，确因特殊原因不能按照绿化规划进行绿化建设的，须经城市绿化行政主管部门批准，并按照所缺绿化建设面积缴纳绿化补偿费，由城市绿化行政主管部门统一进行绿化建设。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保护和管理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城市绿化管理工作实行行业管理、部门管理与单位、群众管理相结合的原则，并按下列规定负责管理：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（一）城市的公共绿地、生产绿地、防护绿地、风景林地、行道树及干道绿化带的绿化，由城市绿化行政主管部门管理；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（二）各单位附属绿地和生活区的绿化以及单位自建的公园、苗圃等由本单位管理；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（三）居住区的绿化，由居住区物业管理机构负责或者由城市绿化行政主管部门根据实际情况确定的单位管理；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（四）公路、铁路、河道、沟渠两侧的绿化，分别由其主管部门管理；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（五）城市居民在居住的庭院内种植的树木，归个人所有和管理。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xml:space="preserve">  城市规划中确定的城市绿地和城市中已有的绿地，任何单位和个人不得擅自改变其用途或者破坏绿化规划用地的地形、地貌、水体和植物。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xml:space="preserve">  因国家建设确需占用城市规划绿地或者城市中已有绿地的，须经城市规划行政主管部门或者城市绿化行政主管部门批准，缴纳占用绿地费或者绿地挖掘赔偿费，并按有关规定办理用地手续。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因建设或者其他特殊需要临时占用城市绿地的，必须经城市绿化行政主管部门同意，按照有关规定办理临时用地手续。占用单位或者个人应当向绿地管理单位缴纳占用绿地费，并在临时用地期满后按原样恢复绿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xml:space="preserve">  禁止下列损害城市绿化和设施的行为：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（一）就树搭棚、盖房或者围圈树木；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（二）在绿地内放牧、堆放物料、乱倒、乱扔废弃物或者取土采石；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（三）在树木、花卉、绿篱附近堆放有毒有害物品及焚烧树叶、废纸等杂物；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（四）在公共绿地内擅自开设营业摊点；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（五）向树木、花草倾到污水、热水；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（六）在树木上钉栓刻划、攀折花木和任意采摘树叶、花果、践踏草坪；</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（七）其他损害城市绿化和设施的行为。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xml:space="preserve">  严禁擅自砍伐或者移植树木、绿篱。因建设确需砍伐或者移植的，按下列规定办理审批手续；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（一）一处一次砍伐、移植乔木五十株或者灌木二十丛或者绿篱三十米以下的，由城市绿化行政主管部门审批；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（二）一处一次砍伐、移植乔木五十株或者灌木二十丛或者绿篱三十米以上的，由城市绿化行政主管部门审核、报城市人民政府审批。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xml:space="preserve">  经批准砍伐和移栽树木的，应当对树权所有者给予补偿，并按“伐一栽三”的原则予以补栽。原地无法补栽的，可交纳树木补栽所需费用，由城市绿化行政主管部门异地补栽。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因抢险救灾和处理事故等紧急情况需要砍伐树木的，可先行处理，事后应当及时向城市绿化行政主管部门报告。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禁止将城市公共绿地、防护绿地、生产绿地、风景林地出租、出让或者设定抵押。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xml:space="preserve">  在城市的公园、动物园、植物园和陵园内开设商业、服务摊点，经公共绿地管理单位同意，可以在公共绿地管理单位指定的地点从事经营活动，并遵守公共绿地管理的有关规定。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xml:space="preserve">  绿地管理单位应当加强技术管理，建立、健全管理制度，定期维护绿化设施，做好病虫害的防治工作。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凡须引进调入外地种苗的，必须经城市绿化行政主管部门会同有关部门检疫。符合植物检疫标准的种苗，方可引进调入。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单位和个人的树木发生病虫害时，应当立即采取防治措施，并及时向城市绿化行政主管部门报告。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xml:space="preserve">  城市树木影响管线安全使用需要修剪时，必须报经城市绿化行政主管部门批准，由管线管理单位按照城市绿化行政主管部门批准的方案组织修剪。</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因不可抗力致使树木倾斜危及管线安全时，管线管理单位可以先行修剪、扶正或者砍伐树木，事后应当及时报告城市绿化行政主管部门和绿地管理单位。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xml:space="preserve">  城市绿化行政主管部门应当对城市古树名木进行统一登记、编号、造册，设立价值说明和保护标志，划定保护范围，并建立档案，加强养护管理。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在单位管界内或者私人宅院内的古树名木，由该单位或者居民负责养护，城市绿化行政主管部门负责监督和技术指导，并补贴相应的养护费。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xml:space="preserve">  严禁砍伐或者迁移古树名木。因特殊需要迁移古树名木时，必须经城市绿化行政主管部门同意，报城市人民政府批准，由城市绿化行政主管部门统一组织迁移工作。迁移费用由申请迁移的单位承担。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xml:space="preserve">  违反本条例第八条规定，建设工程绿化用地面积达不到规定标准的，由城市绿化行政主管部门责令限期改正；逾期仍达不到规定标准的，处以所缺绿化用地面积建设费用三至五倍的罚款。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xml:space="preserve">  违反本条例第十三条规定，工程建设项目的附属绿化工程设计方案或者城市的公共绿地、居住区绿地、风景林地和干道绿化带等绿化工程的设计方案未经批准进行施工的，由城市绿化行政主管部门责令停止施工，限期报送审批绿化工程设计方案；逾期不报送的，处以绿化工程造价百分之三至百分之八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xml:space="preserve">  违反本条例第十五条规定，未按照批准的设计方案施工的，由城市绿化行政主管部门责令其停止施工，限期改正；逾期不改正的，处以绿化工程造价百分之十至百分之二十的罚款。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xml:space="preserve">  违反本条例第十六条规定，工程建设项目在主体工程投入使用后的第二个绿化季节尚未完成附属绿化工程的，由城市绿化行政主管部门责令限期完成；逾期仍未完成的，每年处以绿化工程造价百分之二十的罚款，直至完成附属绿化工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xml:space="preserve">  违反本条例第二十条规定，擅自占用城市规划绿地或者城市中已有绿地的，由城市绿化行政主管部门责令限期退还城市绿地，恢复绿地原状，并处占用绿地面积应当缴纳占用绿地费五至十倍的罚款；造成损失的，应当负赔偿责任；已形成的非法建筑物或者其他设施限期拆除，逾期不拆除的，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xml:space="preserve">  违反本条例第二十一条规定，临时占用城市绿地期满后未及时按原样恢复城市绿地的，由城市绿化行政主管部门责令限期恢复；逾期不恢复的，处以应缴占用绿地费五倍以下罚款。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xml:space="preserve">  违反本条例第二十五条规定，非法出租、出让或者抵押城市公共绿地、防护绿地、生产绿地、风景林地的，由城市绿化行政主管部门责令停止出租、出让或者抵押、恢复原状、没收违法所得，并处以出租、出让或者抵押城市绿地面积每平方米五十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xml:space="preserve">  对有下列行为之一的单位或者个人，由城市绿化行政主管部门或者委托城建监察机构按照以下规定给予处罚：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（一）违反本条例第二十二条规定，损害城市绿化和设施的，责令停止违法行为，拆除已建的非法设施，可以并处五十元至二千元的罚款；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（二）违反本条例第二十三条规定，擅自砍伐、移植树木、绿篱的，责令停止损害，并处以二百元至一千元的罚款；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违反本条例第二十六条规定，未经公共绿地管理单位同意擅自在城市公共绿地内开设商业、服务摊点的，责令限期迁出和恢复绿地原貌，逾期仍未迁出和恢复绿地原貌的，申请人民法院强制执行，并处以营业期间占地面积每日每平方米五十元至一百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（四）违反本条例第二十七条第二款规定，未经检疫引进调入种苗的，处以五百元至二千元的罚款，不合格种苗予以强制销毁，并处以一千元至二万元的罚款；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（五）违反本条例第二十七条第三款规定，未对病虫害及时采取防治措施的，处以一千元至一万元的罚款；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（六）违反本条例第三十条规定，擅自砍伐或者迁移古树名木的，责令其停止砍伐或者迁移，并处以五千元至五万元的罚款。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xml:space="preserve">  对违反本条例的直接责任人员或者单位负责人，由其所在单位或者上级主管机关给予行政处分；构成犯罪的，由司法机关依法追究刑事责任。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xml:space="preserve">  城市规划、绿化行政主管部门及其工作人员违反本条例规定，玩忽职守、滥用职权，徇私舞弊的，由其所在单位或者上级主管机关给予行政处分；构成犯罪的，由司法机关依法追究刑事责任。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xml:space="preserve">  当事人对行政处罚决定不服的，可以依法申请行政复议或者提起行政诉讼。逾期不申请复议或者不向人民法院起诉，又不履行处罚决定的，由作出处罚决定的机关申请人民法院强制执行。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jc w:val="start"/>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xml:space="preserve">  本条例所称城市绿地，包括以下六类：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（一）公共绿地：指市级、区级、居住区级公园和动物园、植物园、陵园、小游园及街道、广场绿地；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（二）居住区绿地：指居住区内除居住区级公园以外的其他绿地；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（三）单位附属绿地：指机关、团体、企业、事业单位管界内的环境绿地；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（四）生产绿地：指为城市绿地提供苗木、花草、种子的苗圃、花圃、草圃等；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（五）防护绿地：指用于城市环境、卫生、安全、防灾等用的绿带、绿地；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（六）风景林地：指具有一定景观价值，在城市整体风貌和环境中起作用，但尚没有完善游览、休息、娱乐等设施的林地。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xml:space="preserve">  本条例所称城市绿化设施是指城市绿地的灌溉、防护、照明、装饰、指示标志及供游览休息等设施的统称。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xml:space="preserve">  未设镇建设的工矿区、农林牧场、风景旅游区等城市型居民点的绿化管理工作，可参照本条例执行。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xml:space="preserve">  本条例自</w:t>
      </w:r>
      <w:r>
        <w:rPr>
          <w:rFonts w:eastAsia="仿宋_GB2312" w:cs="仿宋_GB2312" w:hint="eastAsia" w:ascii="仿宋_GB2312" w:hAnsi="仿宋_GB2312"/>
          <w:w w:val="102"/>
          <w:sz w:val="32"/>
          <w:szCs w:val="32"/>
        </w:rPr>
        <w:t>1997</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2016-10-27T21:26:58Z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