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宁夏回族自治区预防接种管理条例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widowControl w:val="false"/>
        <w:suppressLineNumbers w:val="0"/>
        <w:tabs>
          <w:tab w:val="clear" w:pos="420"/>
          <w:tab w:val="left" w:pos="7980" w:leader="none"/>
        </w:tabs>
        <w:spacing w:before="0" w:after="0"/>
        <w:ind w:firstLineChars="0" w:firstLine="0" w:startChars="302" w:endChars="393"/>
        <w:jc w:val="both"/>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kern w:val="2"/>
          <w:sz w:val="32"/>
          <w:szCs w:val="32"/>
          <w:lang w:bidi="ar"/>
        </w:rPr>
        <w:t>2008</w:t>
      </w:r>
      <w:r>
        <w:rPr>
          <w:rFonts w:ascii="楷体_GB2312;楷体" w:hAnsi="楷体_GB2312;楷体" w:cs="楷体_GB2312;楷体" w:hint="eastAsia" w:eastAsia="楷体_GB2312;楷体"/>
          <w:kern w:val="2"/>
          <w:sz w:val="32"/>
          <w:szCs w:val="32"/>
          <w:lang w:bidi="ar"/>
        </w:rPr>
        <w:t>年</w:t>
      </w:r>
      <w:r>
        <w:rPr>
          <w:rFonts w:eastAsia="楷体_GB2312;楷体" w:cs="楷体_GB2312;楷体" w:hint="eastAsia" w:ascii="楷体_GB2312;楷体" w:hAnsi="楷体_GB2312;楷体"/>
          <w:kern w:val="2"/>
          <w:sz w:val="32"/>
          <w:szCs w:val="32"/>
          <w:lang w:bidi="ar"/>
        </w:rPr>
        <w:t>11</w:t>
      </w:r>
      <w:r>
        <w:rPr>
          <w:rFonts w:ascii="楷体_GB2312;楷体" w:hAnsi="楷体_GB2312;楷体" w:cs="楷体_GB2312;楷体" w:hint="eastAsia" w:eastAsia="楷体_GB2312;楷体"/>
          <w:kern w:val="2"/>
          <w:sz w:val="32"/>
          <w:szCs w:val="32"/>
          <w:lang w:bidi="ar"/>
        </w:rPr>
        <w:t>月</w:t>
      </w:r>
      <w:r>
        <w:rPr>
          <w:rFonts w:eastAsia="楷体_GB2312;楷体" w:cs="楷体_GB2312;楷体" w:hint="eastAsia" w:ascii="楷体_GB2312;楷体" w:hAnsi="楷体_GB2312;楷体"/>
          <w:kern w:val="2"/>
          <w:sz w:val="32"/>
          <w:szCs w:val="32"/>
          <w:lang w:bidi="ar"/>
        </w:rPr>
        <w:t>28</w:t>
      </w:r>
      <w:r>
        <w:rPr>
          <w:rFonts w:ascii="楷体_GB2312;楷体" w:hAnsi="楷体_GB2312;楷体" w:cs="楷体_GB2312;楷体" w:hint="eastAsia" w:eastAsia="楷体_GB2312;楷体"/>
          <w:kern w:val="2"/>
          <w:sz w:val="32"/>
          <w:szCs w:val="32"/>
          <w:lang w:bidi="ar"/>
        </w:rPr>
        <w:t>日宁夏回族自治区第十届人民代表大会常务委员会第六次会议通过</w:t>
      </w:r>
      <w:r>
        <w:rPr>
          <w:rFonts w:ascii="楷体_GB2312;楷体" w:hAnsi="楷体_GB2312;楷体" w:cs="楷体_GB2312;楷体" w:hint="eastAsia" w:eastAsia="楷体_GB2312;楷体"/>
          <w:w w:val="102"/>
          <w:sz w:val="32"/>
          <w:szCs w:val="32"/>
        </w:rPr>
        <w:t>）</w:t>
      </w:r>
    </w:p>
    <w:p>
      <w:pPr>
        <w:pStyle w:val="Normal"/>
        <w:keepNext w:val="false"/>
        <w:keepLines w:val="false"/>
        <w:widowControl w:val="false"/>
        <w:suppressLineNumbers w:val="0"/>
        <w:spacing w:before="0" w:after="0"/>
        <w:ind w:firstLineChars="199" w:startChars="0" w:start="0" w:endChars="393"/>
        <w:jc w:val="both"/>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widowControl w:val="false"/>
        <w:suppressLineNumbers w:val="0"/>
        <w:spacing w:before="0" w:after="0"/>
        <w:ind w:firstLineChars="0" w:firstLine="0" w:startChars="0" w:start="0" w:endChars="393"/>
        <w:jc w:val="center"/>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widowControl w:val="false"/>
        <w:suppressLineNumbers w:val="0"/>
        <w:spacing w:before="0" w:after="0"/>
        <w:ind w:firstLineChars="0" w:firstLine="0" w:startChars="0" w:start="0" w:endChars="393"/>
        <w:jc w:val="center"/>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widowControl w:val="false"/>
        <w:numPr>
          <w:ilvl w:val="0"/>
          <w:numId w:val="0"/>
        </w:numPr>
        <w:suppressLineNumbers w:val="0"/>
        <w:spacing w:before="0" w:after="0"/>
        <w:ind w:firstLineChars="0" w:firstLine="0" w:startChars="0" w:start="0" w:endChars="393"/>
        <w:jc w:val="start"/>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第一章  总    则</w:t>
      </w:r>
    </w:p>
    <w:p>
      <w:pPr>
        <w:pStyle w:val="Normal"/>
        <w:keepNext w:val="false"/>
        <w:keepLines w:val="false"/>
        <w:widowControl w:val="false"/>
        <w:numPr>
          <w:ilvl w:val="0"/>
          <w:numId w:val="0"/>
        </w:numPr>
        <w:suppressLineNumbers w:val="0"/>
        <w:spacing w:before="0" w:after="0"/>
        <w:ind w:firstLineChars="0" w:firstLine="0" w:startChars="0" w:start="0" w:endChars="393"/>
        <w:jc w:val="start"/>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第二章  疫苗接种</w:t>
      </w:r>
    </w:p>
    <w:p>
      <w:pPr>
        <w:pStyle w:val="Normal"/>
        <w:keepNext w:val="false"/>
        <w:keepLines w:val="false"/>
        <w:widowControl w:val="false"/>
        <w:numPr>
          <w:ilvl w:val="0"/>
          <w:numId w:val="0"/>
        </w:numPr>
        <w:suppressLineNumbers w:val="0"/>
        <w:spacing w:before="0" w:after="0"/>
        <w:ind w:firstLineChars="0" w:firstLine="0" w:startChars="0" w:start="0" w:endChars="393"/>
        <w:jc w:val="start"/>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第三章  预防接种异常反应的处理</w:t>
      </w:r>
    </w:p>
    <w:p>
      <w:pPr>
        <w:pStyle w:val="Normal"/>
        <w:keepNext w:val="false"/>
        <w:keepLines w:val="false"/>
        <w:widowControl w:val="false"/>
        <w:numPr>
          <w:ilvl w:val="0"/>
          <w:numId w:val="0"/>
        </w:numPr>
        <w:suppressLineNumbers w:val="0"/>
        <w:spacing w:before="0" w:after="0"/>
        <w:ind w:firstLineChars="0" w:firstLine="0" w:startChars="0" w:start="0" w:endChars="393"/>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保障措施</w:t>
      </w:r>
    </w:p>
    <w:p>
      <w:pPr>
        <w:pStyle w:val="Normal"/>
        <w:keepNext w:val="false"/>
        <w:keepLines w:val="false"/>
        <w:widowControl w:val="false"/>
        <w:numPr>
          <w:ilvl w:val="0"/>
          <w:numId w:val="0"/>
        </w:numPr>
        <w:suppressLineNumbers w:val="0"/>
        <w:spacing w:before="0" w:after="0"/>
        <w:ind w:firstLineChars="0" w:firstLine="0" w:startChars="0" w:start="0" w:endChars="393"/>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监督管理</w:t>
      </w:r>
    </w:p>
    <w:p>
      <w:pPr>
        <w:pStyle w:val="Normal"/>
        <w:keepNext w:val="false"/>
        <w:keepLines w:val="false"/>
        <w:widowControl w:val="false"/>
        <w:numPr>
          <w:ilvl w:val="0"/>
          <w:numId w:val="0"/>
        </w:numPr>
        <w:suppressLineNumbers w:val="0"/>
        <w:spacing w:before="0" w:after="0"/>
        <w:ind w:firstLineChars="0" w:firstLine="0" w:startChars="0" w:start="0" w:endChars="393"/>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widowControl w:val="false"/>
        <w:numPr>
          <w:ilvl w:val="0"/>
          <w:numId w:val="0"/>
        </w:numPr>
        <w:suppressLineNumbers w:val="0"/>
        <w:spacing w:before="0" w:after="0"/>
        <w:ind w:firstLineChars="0" w:firstLine="0" w:startChars="0" w:start="0" w:endChars="393"/>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    则</w:t>
      </w:r>
    </w:p>
    <w:p>
      <w:pPr>
        <w:pStyle w:val="Normal"/>
        <w:keepNext w:val="false"/>
        <w:keepLines w:val="false"/>
        <w:widowControl w:val="false"/>
        <w:suppressLineNumbers w:val="0"/>
        <w:spacing w:before="0" w:after="0"/>
        <w:ind w:firstLineChars="199" w:startChars="0" w:start="0" w:endChars="393"/>
        <w:jc w:val="both"/>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为了预防、控制和消除传染病的发生、流行，保障人体健康和公共卫生，根据《中华人民共和国传染病防治法》和国务院《疫苗流通和预防接种管理条例》等法律、行政法规，结合自治区实际，制定本条例。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本条例适用于自治区行政区域内预防接种及其监督管理活动。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县级以上人民政府应当将与国家免疫规划有关的预防接种工作纳入本地区国民经济和社会发展计划，将预防接种工作所需经费列入财政预算，确保国家免疫规划的实施。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自治区人民政府卫生行政主管部门负责全区预防接种的监督管理工作，制定全区预防接种规划并组织实施；设区的市、县（市、区）人民政府卫生行政主管部门负责本行政区域内预防接种的监督管理工作。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自治区人民政府食品药品监督管理部门负责预防接种疫苗的质量和流通的监督管理工作。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各级疾病预防控制机构负责预防接种工作的宣传、培训、技术指导、监测、评价、流行病学调查、应急处置、疫苗和冷链管理等项工作。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县级以上人民政府发展和改革、教育、财政、公安、建设、交通、劳动和社会保障、人口和计划生育等部门，应当在各自的职责范围内，做好预防接种的有关工作。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机关、团体、企业事业单位、乡镇、街道办事处、村（居）民委员会应当配合卫生行政主管部门开展预防接种的组织、宣传、教育工作。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对在预防接种工作中做出显著成绩的单位和个人，县级以上人民政府和有关部门应当给予表彰、奖励。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疫苗接种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疫苗包括第一类疫苗和第二类疫苗。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第一类疫苗是指政府免费向公民提供，公民应当依照政府的规定受种的疫苗；第二类疫苗是指由公民自费并且自愿受种的疫苗。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自治区人民政府卫生行政主管部门应当根据国家有关规定，结合本自治区传染病流行情况，公布第一类疫苗的种类；可以根据传染病监测和预警信息，发布接种第二类疫苗的建议。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其他任何单位和个人不得发布疫苗接种相关信息。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 xml:space="preserve"> 县级人民政府卫生行政主管部门根据卫生规划、服务人口、服务范围等因素，指定符合法定条件的医疗卫生机构（以下统称接种单位）承担预防接种工作，并明确其责任区域。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未经指定的单位和个人不得从事预防接种工作。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接种单位应当按照国家免疫规划和自治区有关规定提供预防接种服务，实行常年或者定期接种，对交通不便的边远地区，实行定期入户接种。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接种单位接种第一类疫苗，不得收取任何费用；接种第二类疫苗的，应当按照国家和自治区规定的项目、标准收取费用。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接种单位应当公示第二类疫苗的收费项目、标准。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接种单位接种疫苗应当遵守预防接种工作规范和接种方案，并在其接种场所的显著位置公示第一类疫苗的品种和接种方法。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在自治区行政区域内居住的儿童和传染病流行地需要进行预防接种的人群（以下统称受种者），应当到其居住地接种单位接受预防接种。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流动人口在其居住地接受接种。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受种者为无行为能力人或者限制行为能力人的，其监护人应当保证受种者及时受种。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预防接种人员在实施接种前，应当告知受种者或者其监护人所接种疫苗的品种、作用、禁忌、不良反应以及注意事项，询问受种者的健康状况以及是否有接种禁忌等情况，并如实记录。受种者或者其监护人应当如实提供受种者的健康状况和接种禁忌等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预防接种人员应当对符合条件的受种者实施接种，并依照有关规定填写并保存接种记录。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对于因有接种禁忌而不能接种的受种者，预防接种人员应当对受种者或者其监护人提出医学建议。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对儿童实行预防接种证制度。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预防接种证应当在儿童出生后一个月内，由其监护人到儿童居住地的接种单位办理。接种单位为儿童实施接种时，应当查验儿童预防接种证，并作好接种记录。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接种单位应当对责任区域内适龄儿童预防接种情况进行调查登记，建立儿童预防接种档案。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儿童入托、入园、入学时，托幼机构、学校应当查验其预防接种证，发现未按照国家免疫规划受种或者无预防接种证的儿童，应当向所在地的县（市、区）疾病预防控制机构或者儿童居住地的接种单位报告，并督促其监护人及时到接种单位为其补种疫苗或者补办预防接种证。托幼机构、学校应当复验预防接种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托幼机构、学校应当将儿童预防接种情况纳入学籍管理。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自治区疾病预防控制机构应当根据国家免疫规划和本地区预防、控制传染病的发生、流行的需要制定第一类疫苗的使用计划。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第一类疫苗的采购、分发按照国家和自治区有关规定进行，采购、分发情况应当报自治区人民政府卫生行政主管部门备案。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自治区疾病预防控制机构应当做好分发第一类疫苗的组织工作，并按照使用计划将第一类疫苗组织分发到设区的市疾病预防控制机构或者县（市、区）疾病预防控制机构。县（市、区）疾病预防控制机构应当按照使用计划将第一类疫苗分发到接种单位和乡镇医疗卫生机构。乡镇医疗卫生机构应当将第一类疫苗分发到承担预防接种工作的村医疗卫生机构。医疗卫生机构不得向其他单位或者个人分发第一类疫苗；分发第一类疫苗，不得收取任何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传染病暴发、流行时，县级以上人民政府或者其卫生行政主管部门需要采取应急接种措施的，自治区、设区的市疾病预防控制机构可以直接向接种单位分发第一类疫苗。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接种单位接种必须使用经国家批准生产的合格疫苗，禁止使用过期或者损坏变质的疫苗。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疾病预防控制机构、接种单位在接收或者购买疫苗时，必须按规定查验疫苗生产企业、疫苗批发企业的相关资质证明及疫苗批次合格的各类检验证明，并保留相关证明的复印件，建立真实、完整的接收或者购进、分发、供应记录，并保存至超过疫苗有效期二年备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疾病预防控制机构、接种单位、疫苗生产企业、疫苗批发企业应当依照卫生部《疫苗储存和运输管理规范》的要求储存和运输疫苗，保证疫苗质量。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设区的市、县（市、区）人民政府卫生行政主管部门根据传染病监测和预警信息，为了预防、控制传染病的暴发、流行，需要在本行政区域内部分地区进行群体性预防接种的，应当报经本级人民政府决定，并报自治区人民政府卫生行政主管部门备案；需要在自治区行政区域范围内进行群体性预防接种的，应当由自治区人民政府卫生行政主管部门报经自治区人民政府决定，并报国务院卫生行政主管部门备案。作出批准决定的人民政府应当组织有关部门做好人员培训、宣传教育、物资调用、经费保障等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任何单位或者个人不得擅自进行群体性预防接种。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预防接种异常反应的处理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预防接种异常反应，是指合格的疫苗在实施规范接种过程中或者实施规范接种后造成受种者机体组织器官、功能损害，相关各方均无过错的药品不良反应。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对预防接种异常反应的调查诊断、鉴定、处理应当遵循公开、公正的原则，按照预防接种工作规范和国家有关规定执行。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医疗机构、疾病预防控制机构、接种单位发现预防接种异常反应、疑似预防接种异常反应或者接到相关报告的，应当依照预防接种工作规范及时采取处理措施，并立即向所在地的县级人民政府卫生行政主管部门和食品药品监督管理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县级人民政府卫生行政主管部门和食品药品监督管理部门接到相关报告后，应当立即组织预防接种异常反应调查诊断专家组进行调查诊断。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有下列情形之一的，县级人民政府卫生行政主管部门应当采取必要的应急处置措施，并立即向本级人民政府报告，同时移送上一级人民政府卫生行政主管部门处理。上一级人民政府卫生行政主管部门应当立即组织预防接种异常反应专家组进行调查诊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（一）受种者死亡或者严重残疾的；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（二）有群体性疑似预防接种异常反应的；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（三）对社会有重大影响的疑似预防接种异常反应的。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因预防接种异常反应造成受种者死亡、严重残疾或者器官组织损伤的，应当给予一次性补偿。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预防接种异常反应具体补偿办法由自治区人民政府制定。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接种单位违反预防接种工作规范、接种方案进行接种，给受种者造成损害的，依照国务院《医疗事故处理条例》的有关规定处理。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自治区人民政府应当保障与国家免疫规划有关的预防接种冷链系统和儿童预防接种信息系统的建设、运转资金以及第一类疫苗预防接种异常反应的补偿费用，并对困难地区的预防接种工作给予经费补助。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县级以上人民政府应当保障本级实施国家免疫规划所必需的宣传、培训、技术指导、监测、评价、流行病学调查、应急处置等工作经费。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县级人民政府应当依照国家和自治区的有关规定，对从事预防接种工作的乡村医生和其他基层预防保健人员给予补助。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预防接种工作经费应当专款专用，任何单位和个人不得侵占、挪用、挤占。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预防接种经费的使用应当依法接受审计机关的审计监督。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县级以上人民政府应当健全本行政区域内预防接种工作的组织机构，加强基础设施和工作队伍建设，完善预防接种工作机制，储备疫苗和有关物资，为预防接种工作提供保障。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县级以上人民政府卫生行政主管部门应当加强预防接种门诊规范化建设和管理，加强对预防接种人员的专业培训和考核。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预防接种人员培训考核不合格的，不得从事预防接种工作。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疾病预防控制机构的疫苗运输冷链车辆，依照国家和自治区的有关规定免征养路费。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广播、电视、报刊、网络等新闻媒体，应当免费播映、刊登预防接种公益宣传节目、栏目，普及预防接种知识。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乡镇、街道办事处、村（居）民委员会，应当及时掌握辖区内受种者数量、分布及其变化情况</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协助接种单位组织做好受种者受种第一类疫苗。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鼓励、支持单位和个人参与预防接种的宣传教育、志愿服务和捐赠等活动。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县级以上人民政府应当加强对预防接种工作的领导，建立和完善督导考核和责任追究制度，及时协调、解决预防接种管理工作中的重大问题。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卫生行政主管部门和食品药品监督管理部门应当严格履行职责，加强对预防接种管理工作的监督检查。依法进行监督检查，可以采取下列措施：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（一）检查相关单位与预防接种管理工作有关的记录、资料、档案；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（二）向有关单位和个人了解情况；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（三）进入有关场所实施现场检查；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（四）法律、行政法规规定的其他措施。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卫生行政主管部门和食品药品监督管理部门进行监督检查时，监督检查人员不得少于二人，并应当出示执法证件，对被检查者的商业秘密应当保密。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卫生行政主管部门、食品药品监督管理部门依法进行的监督检查，被检查单位和个人应当予以配合，不得拒绝、阻碍。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卫生行政主管部门和食品药品监督管理部门应当建立举报制度，公布举报电话、信箱或者电子邮箱，受理对违反本条例规定行为的举报，并及时依法进行处理。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公安、建设、劳动和社会保障、人口和计划生育等部门在流动人口管理、服务工作中，应当协助卫生行政主管部门做好流动人员的预防接种工作。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村（居）民委员会应当及时了解流动人口中适龄儿童预防接种情况，对没有接受预防接种的适龄儿童，督促其监护人及时为适龄儿童接种。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设区的市、县（市、区）人民政府未履行预防接种保障职责有失职、渎职行为的，由上一级人民政府责令改正，通报批评；造成传染病传播、流行或者其他严重后果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卫生行政主管部门、食品药品监督管理部门和其他有关部门，不履行预防接种监督管理职责有失职、渎职行为的，由本级人民政府或者上一级行政主管部门责令改正，通报批评；造成受种者人身损害，传染病传播、流行或者其他严重后果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接种单位有下列情形之一的，由县级人民政府卫生行政主管部门责令改正，给予警告；拒不改正的，对主要负责人、直接负责的主管人员依法给予行政处分，对负有责任的医疗卫生人员责令暂停三个月至六个月的执业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（一）未依照规定建立并保存真实、完整的疫苗接收或者购进、分发、供应记录的；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（二）未在其接种场所的显著位置公示第一类疫苗的品种和接种方法的；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（三）预防接种人员在接种前，未依照本条例规定告知、询问受种者或者其监护人有关情况的；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（四）预防接种人员未依照规定填写并保存接种记录的；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（五）未依照规定对接种疫苗的情况进行登记并报告的。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疾病预防控制机构、接种单位有下列情形之一的，由县级以上人民政府卫生行政主管部门责令改正，给予警告；有违法所得的，没收违法所得；拒不改正的，造成受种者人身损害或者其他严重后果的，对主要负责人、直接负责的主管人员和其他直接责任人员依法给予行政处分，并由原发证部门吊销负有责任的医疗卫生人员的执业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（一）从不具有疫苗经营资格的单位或者个人购进第二类疫苗的；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（二）接种疫苗未遵守预防接种工作规范、接种方案的；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（三）发现预防接种异常反应或者疑似预防接种异常反应，未依照规定及时处理或者报告的；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（四）擅自进行群体性预防接种的。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疾病预防控制机构、接种单位在疫苗分发、供应和接种过程中违反本条例规定收取费用的，由所在地的县级人民政府卫生行政主管部门监督其将违法收取的费用退还给原缴费的单位和个人，并由县级以上人民政府价格主管部门依法给予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疾病预防控制机构、接种单位、疫苗生产企业、疫苗批发企业未在规定的冷藏条件下储存、运输疫苗的，由食品药品监督管理部门责令改正，给予警告，对所储存、运输的疫苗予以销毁；疾病预防控制机构、接种单位拒不改正或者造成严重后果的，由卫生行政主管部门对主要负责人、直接负责的主管人员和其他直接责任人员依法给予行政处分，并吊销接种单位的接种资格；疫苗生产企业、疫苗批发企业拒不改正的，由食品药品监督管理部门依法责令停产、停业整顿，并处五千元以上二万元以下的罚款；造成严重后果的，依法吊销疫苗生产资格、疫苗经营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违反本条例规定发布接种第二类疫苗的建议信息的，由所在地或者行为发生地的县级人民政府卫生行政主管部门责令通过媒体消除影响，给予警告；有违法所得的，没收违法所得，并处违法所得一倍以上三倍以下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未经卫生行政主管部门依法指定擅自从事预防接种工作的，由所在地或者行为发生地的县级人民政府卫生行政主管部门责令改正，给予警告；有违法持有疫苗的，没收违法持有的疫苗；有违法所得的，没收违法所得；拒不改正的，对主要负责人、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儿童入托、入园、入学时，托幼机构、学校未依照规定查验预防接种证或者发现未依照规定受种的儿童后，未向疾病预防控制机构或者接种单位报告的，由县级以上人民政府教育行政主管部门责令改正，给予警告；拒不改正的，对托幼机构、学校，处一千元以上五千元以下的罚款，对主要负责人、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xml:space="preserve">  违反本条例第二十八条规定，侵占、挪用、挤占预防接种工作经费的，由县级以上人民政府责令改正，给予通报批评，并对主管人员和直接责任人员依法给予行政处分，构成犯罪的，依法追究刑事责任。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xml:space="preserve">  当事人对行政处罚决定不服的，可以依法申请行政复议或者向人民法院提起行政诉讼。逾期不申请行政复议，也不提起行政诉讼，又不履行处罚决定的，由作出处罚决定的机关申请人民法院强制执行。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黑体" w:hAnsi="黑体" w:eastAsia="黑体" w:cs="黑体"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黑体" w:hAnsi="黑体" w:eastAsia="黑体" w:cs="黑体" w:hint="eastAsia"/>
          <w:w w:val="102"/>
          <w:sz w:val="32"/>
          <w:szCs w:val="32"/>
        </w:rPr>
      </w:pPr>
      <w:r>
        <w:rPr>
          <w:rFonts w:ascii="黑体" w:hAnsi="黑体" w:cs="黑体" w:hint="eastAsia" w:eastAsia="黑体"/>
          <w:w w:val="102"/>
          <w:sz w:val="32"/>
          <w:szCs w:val="32"/>
        </w:rPr>
        <w:t>（</w:t>
      </w:r>
      <w:r>
        <w:rPr>
          <w:rFonts w:ascii="仿宋_GB2312" w:hAnsi="仿宋_GB2312" w:cs="仿宋_GB2312" w:hint="eastAsia" w:eastAsia="仿宋_GB2312"/>
          <w:w w:val="102"/>
          <w:sz w:val="32"/>
          <w:szCs w:val="32"/>
        </w:rPr>
        <w:t>一）国家免疫规划，是指按照国家或者自治区确定的疫苗品种、免疫程序或者接种方案，在人群中有计划地进行预防接种，以预防和控制特定传染病的发生和流行。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黑体" w:hAnsi="黑体" w:eastAsia="黑体" w:cs="黑体" w:hint="eastAsia"/>
          <w:w w:val="102"/>
          <w:sz w:val="32"/>
          <w:szCs w:val="32"/>
        </w:rPr>
      </w:pPr>
      <w:r>
        <w:rPr>
          <w:rFonts w:ascii="黑体" w:hAnsi="黑体" w:cs="黑体" w:hint="eastAsia" w:eastAsia="黑体"/>
          <w:w w:val="102"/>
          <w:sz w:val="32"/>
          <w:szCs w:val="32"/>
        </w:rPr>
        <w:t>（</w:t>
      </w:r>
      <w:r>
        <w:rPr>
          <w:rFonts w:ascii="仿宋_GB2312" w:hAnsi="仿宋_GB2312" w:cs="仿宋_GB2312" w:hint="eastAsia" w:eastAsia="仿宋_GB2312"/>
          <w:w w:val="102"/>
          <w:sz w:val="32"/>
          <w:szCs w:val="32"/>
        </w:rPr>
        <w:t>二）疫苗，是指为了预防、控制传染病的发生、流行，用于人体预防接种的疫苗类预防性生物制品。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黑体" w:hAnsi="黑体" w:eastAsia="黑体" w:cs="黑体" w:hint="eastAsia"/>
          <w:w w:val="102"/>
          <w:sz w:val="32"/>
          <w:szCs w:val="32"/>
        </w:rPr>
      </w:pPr>
      <w:r>
        <w:rPr>
          <w:rFonts w:ascii="黑体" w:hAnsi="黑体" w:cs="黑体" w:hint="eastAsia" w:eastAsia="黑体"/>
          <w:w w:val="102"/>
          <w:sz w:val="32"/>
          <w:szCs w:val="32"/>
        </w:rPr>
        <w:t>（</w:t>
      </w:r>
      <w:r>
        <w:rPr>
          <w:rFonts w:ascii="仿宋_GB2312" w:hAnsi="仿宋_GB2312" w:cs="仿宋_GB2312" w:hint="eastAsia" w:eastAsia="仿宋_GB2312"/>
          <w:w w:val="102"/>
          <w:sz w:val="32"/>
          <w:szCs w:val="32"/>
        </w:rPr>
        <w:t>三）冷链，是指为保证疫苗从疫苗生产企业到接种单位运转过程中的质量而装备的储存、运输冷藏设施、设备。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黑体" w:hAnsi="黑体" w:eastAsia="黑体" w:cs="黑体" w:hint="eastAsia"/>
          <w:w w:val="102"/>
          <w:sz w:val="32"/>
          <w:szCs w:val="32"/>
        </w:rPr>
      </w:pPr>
      <w:r>
        <w:rPr>
          <w:rFonts w:ascii="黑体" w:hAnsi="黑体" w:cs="黑体" w:hint="eastAsia" w:eastAsia="黑体"/>
          <w:w w:val="102"/>
          <w:sz w:val="32"/>
          <w:szCs w:val="32"/>
        </w:rPr>
        <w:t>（</w:t>
      </w:r>
      <w:r>
        <w:rPr>
          <w:rFonts w:ascii="仿宋_GB2312" w:hAnsi="仿宋_GB2312" w:cs="仿宋_GB2312" w:hint="eastAsia" w:eastAsia="仿宋_GB2312"/>
          <w:w w:val="102"/>
          <w:sz w:val="32"/>
          <w:szCs w:val="32"/>
        </w:rPr>
        <w:t>四）群体性预防接种，是指在特定范围内，针对可能受某种传染病感染的特定人群，有组织的集中实施预防接种的活动。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黑体" w:hAnsi="黑体" w:eastAsia="黑体" w:cs="黑体" w:hint="eastAsia"/>
          <w:w w:val="102"/>
          <w:sz w:val="32"/>
          <w:szCs w:val="32"/>
        </w:rPr>
      </w:pPr>
      <w:r>
        <w:rPr>
          <w:rFonts w:ascii="黑体" w:hAnsi="黑体" w:cs="黑体" w:hint="eastAsia" w:eastAsia="黑体"/>
          <w:w w:val="102"/>
          <w:sz w:val="32"/>
          <w:szCs w:val="32"/>
        </w:rPr>
        <w:t>（</w:t>
      </w:r>
      <w:r>
        <w:rPr>
          <w:rFonts w:ascii="仿宋_GB2312" w:hAnsi="仿宋_GB2312" w:cs="仿宋_GB2312" w:hint="eastAsia" w:eastAsia="仿宋_GB2312"/>
          <w:w w:val="102"/>
          <w:sz w:val="32"/>
          <w:szCs w:val="32"/>
        </w:rPr>
        <w:t>五）应急接种，是指在传染病流行开始或者有流行趋势时，为控制疫情蔓延，对易感人群开展的预防接种。</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w:t>
      </w:r>
      <w:r>
        <w:rPr>
          <w:rFonts w:ascii="仿宋_GB2312" w:hAnsi="仿宋_GB2312" w:cs="仿宋_GB2312" w:hint="eastAsia" w:eastAsia="仿宋_GB2312"/>
          <w:w w:val="102"/>
          <w:sz w:val="32"/>
          <w:szCs w:val="32"/>
        </w:rPr>
        <w:t>六）疑似预防接种异常反应，是指在预防接种过程中或者接种后发生的可能造成受种者机体组织器官、功能损害，且怀疑与预防接种有关的反应。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1997</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24</w:t>
      </w:r>
      <w:r>
        <w:rPr>
          <w:rFonts w:ascii="仿宋_GB2312" w:hAnsi="仿宋_GB2312" w:cs="仿宋_GB2312" w:hint="eastAsia" w:eastAsia="仿宋_GB2312"/>
          <w:w w:val="102"/>
          <w:sz w:val="32"/>
          <w:szCs w:val="32"/>
        </w:rPr>
        <w:t>日自治区七届人大常委会第二十四次会议通过的《宁夏回族自治区计划免疫管理条例》同时废止。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2016-11-11T15:06:42Z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