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方正小标宋简体" w:hAnsi="方正小标宋简体" w:eastAsia="方正小标宋简体" w:cs="华文中宋" w:hint="eastAsia"/>
          <w:color w:val="000000"/>
          <w:sz w:val="32"/>
          <w:szCs w:val="32"/>
        </w:rPr>
      </w:pPr>
      <w:r>
        <w:rPr>
          <w:rFonts w:eastAsia="方正小标宋简体" w:cs="华文中宋" w:hint="eastAsia" w:ascii="方正小标宋简体" w:hAnsi="方正小标宋简体"/>
          <w:color w:val="000000"/>
          <w:sz w:val="32"/>
          <w:szCs w:val="32"/>
        </w:rPr>
      </w:r>
    </w:p>
    <w:p>
      <w:pPr>
        <w:pStyle w:val="Normal"/>
        <w:snapToGrid w:val="false"/>
        <w:jc w:val="center"/>
        <w:rPr>
          <w:rFonts w:ascii="方正小标宋简体" w:hAnsi="方正小标宋简体" w:eastAsia="方正小标宋简体" w:cs="华文中宋" w:hint="eastAsia"/>
          <w:color w:val="000000"/>
          <w:sz w:val="32"/>
          <w:szCs w:val="32"/>
        </w:rPr>
      </w:pPr>
      <w:r>
        <w:rPr>
          <w:rFonts w:eastAsia="方正小标宋简体" w:cs="华文中宋" w:hint="eastAsia" w:ascii="方正小标宋简体" w:hAnsi="方正小标宋简体"/>
          <w:color w:val="000000"/>
          <w:sz w:val="32"/>
          <w:szCs w:val="32"/>
        </w:rPr>
      </w:r>
    </w:p>
    <w:p>
      <w:pPr>
        <w:pStyle w:val="Normal"/>
        <w:snapToGrid w:val="false"/>
        <w:jc w:val="center"/>
        <w:rPr>
          <w:rFonts w:ascii="宋体;SimSun" w:hAnsi="宋体;SimSun" w:cs="宋体;SimSun" w:hint="eastAsia"/>
          <w:b/>
          <w:bCs/>
          <w:color w:val="000000"/>
          <w:sz w:val="44"/>
          <w:szCs w:val="44"/>
        </w:rPr>
      </w:pPr>
      <w:r>
        <w:rPr>
          <w:rFonts w:ascii="宋体;SimSun" w:hAnsi="宋体;SimSun" w:cs="宋体;SimSun" w:hint="eastAsia"/>
          <w:b/>
          <w:bCs/>
          <w:color w:val="000000"/>
          <w:sz w:val="44"/>
          <w:szCs w:val="44"/>
        </w:rPr>
        <w:t>宁夏回族自治区养老服务促进条例</w:t>
      </w:r>
    </w:p>
    <w:p>
      <w:pPr>
        <w:pStyle w:val="Normal"/>
        <w:snapToGrid w:val="false"/>
        <w:jc w:val="center"/>
        <w:rPr>
          <w:rFonts w:ascii="楷体" w:hAnsi="楷体" w:eastAsia="楷体" w:cs="楷体" w:hint="eastAsia"/>
          <w:b/>
          <w:bCs/>
          <w:color w:val="000000"/>
          <w:sz w:val="44"/>
          <w:szCs w:val="44"/>
        </w:rPr>
      </w:pPr>
      <w:r>
        <w:rPr>
          <w:rFonts w:eastAsia="楷体" w:cs="楷体" w:hint="eastAsia" w:ascii="楷体" w:hAnsi="楷体"/>
          <w:b/>
          <w:bCs/>
          <w:color w:val="000000"/>
          <w:sz w:val="44"/>
          <w:szCs w:val="44"/>
        </w:rPr>
      </w:r>
    </w:p>
    <w:p>
      <w:pPr>
        <w:pStyle w:val="Normal"/>
        <w:snapToGrid w:val="false"/>
        <w:spacing w:lineRule="atLeast" w:line="500"/>
        <w:ind w:firstLineChars="0" w:firstLine="0" w:startChars="337" w:endChars="309"/>
        <w:jc w:val="start"/>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日宁夏回族自治区第十一届人民代表大会常务委员会第二十八次会议通过）</w:t>
      </w:r>
    </w:p>
    <w:p>
      <w:pPr>
        <w:pStyle w:val="Normal"/>
        <w:snapToGrid w:val="false"/>
        <w:rPr>
          <w:rFonts w:ascii="仿宋" w:hAnsi="仿宋" w:eastAsia="仿宋" w:cs="仿宋" w:hint="eastAsia"/>
          <w:sz w:val="32"/>
          <w:szCs w:val="32"/>
        </w:rPr>
      </w:pPr>
      <w:r>
        <w:rPr>
          <w:rFonts w:eastAsia="仿宋" w:cs="仿宋" w:hint="eastAsia" w:ascii="仿宋" w:hAnsi="仿宋"/>
          <w:sz w:val="32"/>
          <w:szCs w:val="32"/>
        </w:rPr>
      </w:r>
    </w:p>
    <w:p>
      <w:pPr>
        <w:pStyle w:val="Normal"/>
        <w:snapToGrid w:val="false"/>
        <w:rPr/>
      </w:pPr>
      <w:r>
        <w:rPr>
          <w:rFonts w:eastAsia="仿宋" w:cs="仿宋" w:hint="eastAsia" w:ascii="仿宋" w:hAnsi="仿宋"/>
          <w:sz w:val="32"/>
          <w:szCs w:val="32"/>
        </w:rPr>
        <w:t xml:space="preserve">                       </w:t>
      </w:r>
      <w:r>
        <w:rPr>
          <w:rFonts w:ascii="楷体" w:hAnsi="楷体" w:cs="楷体" w:hint="eastAsia" w:eastAsia="楷体"/>
          <w:sz w:val="32"/>
          <w:szCs w:val="32"/>
        </w:rPr>
        <w:t xml:space="preserve">目   录 </w:t>
      </w:r>
    </w:p>
    <w:p>
      <w:pPr>
        <w:pStyle w:val="Normal"/>
        <w:snapToGrid w:val="false"/>
        <w:rPr>
          <w:rFonts w:ascii="楷体" w:hAnsi="楷体" w:eastAsia="楷体" w:cs="楷体" w:hint="eastAsia"/>
          <w:sz w:val="32"/>
          <w:szCs w:val="32"/>
        </w:rPr>
      </w:pPr>
      <w:r>
        <w:rPr>
          <w:rFonts w:eastAsia="楷体" w:cs="楷体" w:hint="eastAsia" w:ascii="楷体" w:hAnsi="楷体"/>
          <w:sz w:val="32"/>
          <w:szCs w:val="32"/>
        </w:rPr>
      </w:r>
    </w:p>
    <w:p>
      <w:pPr>
        <w:pStyle w:val="Normal"/>
        <w:snapToGrid w:val="false"/>
        <w:spacing w:lineRule="exact" w:line="600"/>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第一章   总则</w:t>
      </w:r>
    </w:p>
    <w:p>
      <w:pPr>
        <w:pStyle w:val="Normal"/>
        <w:snapToGrid w:val="false"/>
        <w:spacing w:lineRule="exact" w:line="600"/>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第二章   规划与建设 </w:t>
      </w:r>
    </w:p>
    <w:p>
      <w:pPr>
        <w:pStyle w:val="Normal"/>
        <w:snapToGrid w:val="false"/>
        <w:spacing w:lineRule="exact" w:line="600"/>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第三章   养老服务</w:t>
      </w:r>
    </w:p>
    <w:p>
      <w:pPr>
        <w:pStyle w:val="Normal"/>
        <w:snapToGrid w:val="false"/>
        <w:spacing w:lineRule="exact" w:line="600"/>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第四章   养老扶持</w:t>
      </w:r>
    </w:p>
    <w:p>
      <w:pPr>
        <w:pStyle w:val="Normal"/>
        <w:snapToGrid w:val="false"/>
        <w:spacing w:lineRule="exact" w:line="600"/>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第五章   养老监管</w:t>
      </w:r>
    </w:p>
    <w:p>
      <w:pPr>
        <w:pStyle w:val="Normal"/>
        <w:snapToGrid w:val="false"/>
        <w:spacing w:lineRule="exact" w:line="600"/>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第六章   法律责任</w:t>
      </w:r>
    </w:p>
    <w:p>
      <w:pPr>
        <w:pStyle w:val="Normal"/>
        <w:snapToGrid w:val="false"/>
        <w:spacing w:lineRule="exact" w:line="600"/>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第七章   附则</w:t>
      </w:r>
    </w:p>
    <w:p>
      <w:pPr>
        <w:pStyle w:val="Normal"/>
        <w:snapToGrid w:val="false"/>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第一章  总则</w:t>
      </w:r>
    </w:p>
    <w:p>
      <w:pPr>
        <w:pStyle w:val="Normal"/>
        <w:snapToGrid w:val="false"/>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spacing w:lineRule="atLeast" w:line="600"/>
        <w:rPr>
          <w:rFonts w:ascii="仿宋_GB2312" w:hAnsi="仿宋_GB2312" w:eastAsia="仿宋_GB2312" w:cs="仿宋" w:hint="eastAsia"/>
          <w:color w:val="000000"/>
          <w:sz w:val="32"/>
          <w:szCs w:val="32"/>
        </w:rPr>
      </w:pPr>
      <w:r>
        <w:rPr>
          <w:rFonts w:eastAsia="仿宋_GB2312" w:hint="eastAsia"/>
          <w:color w:val="000000"/>
          <w:sz w:val="32"/>
          <w:szCs w:val="32"/>
        </w:rPr>
        <w:t xml:space="preserve">    </w:t>
      </w:r>
      <w:r>
        <w:rPr>
          <w:rFonts w:ascii="黑体;SimHei" w:hAnsi="黑体;SimHei" w:cs="黑体;SimHei" w:hint="eastAsia" w:eastAsia="黑体;SimHei"/>
          <w:color w:val="000000"/>
          <w:sz w:val="32"/>
          <w:szCs w:val="32"/>
        </w:rPr>
        <w:t>第一条</w:t>
      </w:r>
      <w:r>
        <w:rPr>
          <w:rFonts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为了促进养老服务事业健康发展，保障老年人生活、健康和安全，</w:t>
      </w:r>
      <w:r>
        <w:rPr>
          <w:rFonts w:ascii="仿宋_GB2312" w:hAnsi="仿宋_GB2312" w:cs="仿宋_GB2312" w:hint="eastAsia" w:eastAsia="仿宋_GB2312"/>
          <w:color w:val="000000"/>
          <w:sz w:val="32"/>
          <w:szCs w:val="32"/>
        </w:rPr>
        <w:t>根据《中华人民共和国老年人权益保障法》和有关法律、行政法规的规定，结合自治区实际，制定本条例。</w:t>
      </w:r>
    </w:p>
    <w:p>
      <w:pPr>
        <w:pStyle w:val="Normal"/>
        <w:snapToGrid w:val="false"/>
        <w:spacing w:lineRule="atLeast" w:line="600"/>
        <w:rPr/>
      </w:pPr>
      <w:r>
        <w:rPr>
          <w:rFonts w:eastAsia="仿宋_GB2312" w:cs="仿宋" w:hint="eastAsia" w:ascii="仿宋_GB2312" w:hAnsi="仿宋_GB2312"/>
          <w:color w:val="000000"/>
          <w:sz w:val="32"/>
          <w:szCs w:val="32"/>
        </w:rPr>
        <w:t xml:space="preserve">    </w:t>
      </w:r>
      <w:r>
        <w:rPr>
          <w:rFonts w:ascii="黑体;SimHei" w:hAnsi="黑体;SimHei" w:cs="黑体;SimHei" w:hint="eastAsia" w:eastAsia="黑体;SimHei"/>
          <w:color w:val="000000"/>
          <w:sz w:val="32"/>
          <w:szCs w:val="32"/>
        </w:rPr>
        <w:t>第二条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本条例适用于自治区行政区域内的养老服务及其监督管理工作。</w:t>
      </w:r>
    </w:p>
    <w:p>
      <w:pPr>
        <w:pStyle w:val="Normal"/>
        <w:snapToGrid w:val="false"/>
        <w:spacing w:lineRule="atLeast" w:line="600"/>
        <w:rPr>
          <w:rFonts w:ascii="仿宋_GB2312" w:hAnsi="仿宋_GB2312" w:eastAsia="仿宋_GB2312" w:cs="仿宋" w:hint="eastAsia"/>
          <w:color w:val="000000"/>
          <w:sz w:val="32"/>
          <w:szCs w:val="32"/>
          <w:bdr w:val="single" w:sz="4" w:space="0" w:color="000000"/>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本条例所称养老服务，是指为老年人提供生活照料、医疗护理、文化娱乐、精神慰藉、救援服务等活动</w:t>
      </w:r>
      <w:r>
        <w:rPr>
          <w:rFonts w:ascii="仿宋_GB2312" w:hAnsi="仿宋_GB2312" w:cs="仿宋" w:hint="eastAsia" w:eastAsia="仿宋_GB2312"/>
          <w:color w:val="000000"/>
          <w:sz w:val="32"/>
          <w:szCs w:val="32"/>
        </w:rPr>
        <w:t>。</w:t>
      </w:r>
    </w:p>
    <w:p>
      <w:pPr>
        <w:pStyle w:val="Normal"/>
        <w:snapToGrid w:val="false"/>
        <w:spacing w:lineRule="atLeast" w:line="600"/>
        <w:rPr>
          <w:rFonts w:ascii="仿宋_GB2312" w:hAnsi="仿宋_GB2312" w:eastAsia="仿宋_GB2312" w:cs="仿宋_GB2312" w:hint="eastAsia"/>
          <w:color w:val="000000"/>
          <w:kern w:val="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 xml:space="preserve">第三条  </w:t>
      </w:r>
      <w:r>
        <w:rPr>
          <w:rFonts w:hint="eastAsia" w:eastAsia="仿宋_GB2312"/>
          <w:color w:val="000000"/>
          <w:sz w:val="32"/>
          <w:szCs w:val="32"/>
        </w:rPr>
        <w:t>养老服务</w:t>
      </w:r>
      <w:r>
        <w:rPr>
          <w:rFonts w:ascii="仿宋_GB2312" w:hAnsi="仿宋_GB2312" w:cs="宋体;SimSun" w:hint="eastAsia" w:eastAsia="仿宋_GB2312"/>
          <w:color w:val="000000"/>
          <w:kern w:val="0"/>
          <w:sz w:val="32"/>
          <w:szCs w:val="32"/>
        </w:rPr>
        <w:t>坚持政府主导、社会参与、市场运作、统筹发展、保障基本、适度普惠的原则，</w:t>
      </w:r>
      <w:r>
        <w:rPr>
          <w:rFonts w:ascii="仿宋_GB2312" w:hAnsi="仿宋_GB2312" w:cs="仿宋_GB2312" w:hint="eastAsia" w:eastAsia="仿宋_GB2312"/>
          <w:color w:val="000000"/>
          <w:kern w:val="0"/>
          <w:sz w:val="32"/>
          <w:szCs w:val="32"/>
        </w:rPr>
        <w:t>推进</w:t>
      </w:r>
      <w:r>
        <w:rPr>
          <w:rFonts w:ascii="仿宋_GB2312" w:hAnsi="仿宋_GB2312" w:cs="仿宋_GB2312" w:hint="eastAsia" w:eastAsia="仿宋_GB2312"/>
          <w:sz w:val="32"/>
          <w:szCs w:val="32"/>
        </w:rPr>
        <w:t>以居家为基础、社区为依托、机构为补充、医养相结合的多层次养老服务体系建设。</w:t>
      </w:r>
    </w:p>
    <w:p>
      <w:pPr>
        <w:pStyle w:val="Normal"/>
        <w:snapToGrid w:val="false"/>
        <w:spacing w:lineRule="atLeast" w:line="600"/>
        <w:rPr/>
      </w:pPr>
      <w:r>
        <w:rPr>
          <w:rFonts w:eastAsia="仿宋_GB2312" w:cs="宋体;SimSun" w:hint="eastAsia" w:ascii="仿宋_GB2312" w:hAnsi="仿宋_GB2312"/>
          <w:color w:val="000000"/>
          <w:kern w:val="0"/>
          <w:sz w:val="32"/>
          <w:szCs w:val="32"/>
        </w:rPr>
        <w:t xml:space="preserve">   </w:t>
      </w:r>
      <w:r>
        <w:rPr>
          <w:rFonts w:eastAsia="仿宋_GB2312" w:cs="仿宋_GB2312" w:hint="eastAsia" w:ascii="仿宋_GB2312" w:hAnsi="仿宋_GB2312"/>
          <w:color w:val="000000"/>
          <w:kern w:val="0"/>
          <w:sz w:val="32"/>
          <w:szCs w:val="32"/>
        </w:rPr>
        <w:t xml:space="preserve"> </w:t>
      </w:r>
      <w:r>
        <w:rPr>
          <w:rFonts w:ascii="黑体;SimHei" w:hAnsi="黑体;SimHei" w:cs="黑体;SimHei" w:hint="eastAsia" w:eastAsia="黑体;SimHei"/>
          <w:color w:val="000000"/>
          <w:sz w:val="32"/>
          <w:szCs w:val="32"/>
        </w:rPr>
        <w:t>第四条</w:t>
      </w:r>
      <w:r>
        <w:rPr>
          <w:rFonts w:ascii="黑体;SimHei" w:hAnsi="黑体;SimHei" w:cs="黑体;SimHei" w:hint="eastAsia" w:eastAsia="黑体;SimHei"/>
          <w:color w:val="000000"/>
          <w:kern w:val="0"/>
          <w:sz w:val="32"/>
          <w:szCs w:val="32"/>
        </w:rPr>
        <w:t xml:space="preserve">  </w:t>
      </w:r>
      <w:r>
        <w:rPr>
          <w:rFonts w:ascii="仿宋_GB2312" w:hAnsi="仿宋_GB2312" w:cs="仿宋_GB2312" w:hint="eastAsia" w:eastAsia="仿宋_GB2312"/>
          <w:sz w:val="32"/>
          <w:szCs w:val="32"/>
        </w:rPr>
        <w:t>县级以上人民政府应当将养老服务事业纳入国民经济和社会发展规划，制定专项规划和年度计划。</w:t>
      </w:r>
    </w:p>
    <w:p>
      <w:pPr>
        <w:pStyle w:val="Style15"/>
        <w:widowControl w:val="false"/>
        <w:snapToGrid w:val="false"/>
        <w:spacing w:lineRule="atLeast" w:line="60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县级以上人民政府应当将养老服务事业经费列入本级财政预算，建立稳定经费保障机制。</w:t>
      </w:r>
    </w:p>
    <w:p>
      <w:pPr>
        <w:pStyle w:val="Style15"/>
        <w:widowControl w:val="false"/>
        <w:snapToGrid w:val="false"/>
        <w:spacing w:lineRule="atLeast" w:line="60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县级以上人民政府应当建立养老服务工作协调机制，协调解决养老服务发展中的困难和问题。</w:t>
      </w:r>
    </w:p>
    <w:p>
      <w:pPr>
        <w:pStyle w:val="Normal"/>
        <w:shd w:fill="FFFFFF" w:val="clear"/>
        <w:snapToGrid w:val="false"/>
        <w:spacing w:lineRule="atLeast" w:line="600"/>
        <w:ind w:firstLineChars="200" w:startChars="0" w:start="0" w:endChars="0" w:end="0"/>
        <w:jc w:val="start"/>
        <w:rPr>
          <w:rFonts w:ascii="仿宋_GB2312" w:hAnsi="仿宋_GB2312" w:eastAsia="仿宋_GB2312" w:cs="仿宋_GB2312" w:hint="eastAsia"/>
          <w:color w:val="000000"/>
          <w:kern w:val="0"/>
          <w:sz w:val="32"/>
          <w:szCs w:val="32"/>
        </w:rPr>
      </w:pPr>
      <w:r>
        <w:rPr>
          <w:rFonts w:ascii="黑体;SimHei" w:hAnsi="黑体;SimHei" w:cs="黑体;SimHei" w:hint="eastAsia" w:eastAsia="黑体;SimHei"/>
          <w:color w:val="000000"/>
          <w:kern w:val="0"/>
          <w:sz w:val="32"/>
          <w:szCs w:val="32"/>
        </w:rPr>
        <w:t>第五条</w:t>
      </w:r>
      <w:r>
        <w:rPr>
          <w:rFonts w:ascii="仿宋_GB2312" w:hAnsi="仿宋_GB2312" w:cs="仿宋_GB2312" w:hint="eastAsia" w:eastAsia="仿宋_GB2312"/>
          <w:color w:val="000000"/>
          <w:kern w:val="0"/>
          <w:sz w:val="32"/>
          <w:szCs w:val="32"/>
        </w:rPr>
        <w:t xml:space="preserve">  县级以上人民政府民政部门负责养老服务的业务指导、行业规范、综合协调和监督管理</w:t>
      </w:r>
      <w:r>
        <w:rPr>
          <w:rFonts w:ascii="仿宋_GB2312" w:hAnsi="仿宋_GB2312" w:cs="仿宋_GB2312" w:hint="eastAsia" w:eastAsia="仿宋_GB2312"/>
          <w:color w:val="000000"/>
          <w:sz w:val="32"/>
          <w:szCs w:val="32"/>
        </w:rPr>
        <w:t>。</w:t>
      </w:r>
    </w:p>
    <w:p>
      <w:pPr>
        <w:pStyle w:val="Normal"/>
        <w:snapToGrid w:val="false"/>
        <w:spacing w:lineRule="atLeast" w:line="6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发展改革、财政、人力资源社会保障、国土资源、住房城乡建设、卫生计生、环境保护、税务等主管部门，按照各自职责，做好养老服务相关工作。</w:t>
      </w:r>
    </w:p>
    <w:p>
      <w:pPr>
        <w:pStyle w:val="Normal"/>
        <w:snapToGrid w:val="false"/>
        <w:spacing w:lineRule="atLeast" w:line="60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乡（镇）人民政府、街道办事处负责本区域内的养老服务工作，指导村（居）民委员会和其他社会组织开展养老服务。</w:t>
      </w:r>
    </w:p>
    <w:p>
      <w:pPr>
        <w:pStyle w:val="Normal"/>
        <w:snapToGrid w:val="false"/>
        <w:spacing w:lineRule="atLeast" w:line="60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_GB2312" w:hint="eastAsia" w:eastAsia="仿宋_GB2312"/>
          <w:color w:val="000000"/>
          <w:sz w:val="32"/>
          <w:szCs w:val="32"/>
        </w:rPr>
        <w:t>工会、共青团、妇联、残联等人民团体，养老服务行业协会、志愿者服务组织等，根据职责或者章程，参与相关养老服务工作。</w:t>
      </w:r>
    </w:p>
    <w:p>
      <w:pPr>
        <w:pStyle w:val="Normal"/>
        <w:snapToGrid w:val="false"/>
        <w:spacing w:lineRule="atLeast" w:line="600"/>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 xml:space="preserve">第六条  </w:t>
      </w:r>
      <w:r>
        <w:rPr>
          <w:rFonts w:ascii="仿宋_GB2312" w:hAnsi="仿宋_GB2312" w:cs="仿宋_GB2312" w:hint="eastAsia" w:eastAsia="仿宋_GB2312"/>
          <w:color w:val="000000"/>
          <w:sz w:val="32"/>
          <w:szCs w:val="32"/>
        </w:rPr>
        <w:t>新闻媒体应当加强敬老、养老、助老等公益性宣传，树立尊重、关心、帮助老年人的社会风尚。</w:t>
      </w:r>
      <w:r>
        <w:rPr>
          <w:rFonts w:ascii="黑体;SimHei" w:hAnsi="黑体;SimHei" w:cs="黑体;SimHei" w:hint="eastAsia" w:eastAsia="黑体;SimHei"/>
          <w:color w:val="000000"/>
          <w:sz w:val="32"/>
          <w:szCs w:val="32"/>
        </w:rPr>
        <w:t xml:space="preserve">  </w:t>
      </w:r>
    </w:p>
    <w:p>
      <w:pPr>
        <w:pStyle w:val="Normal"/>
        <w:snapToGrid w:val="false"/>
        <w:spacing w:lineRule="atLeast" w:line="60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 xml:space="preserve">第七条  </w:t>
      </w:r>
      <w:r>
        <w:rPr>
          <w:rFonts w:ascii="仿宋_GB2312" w:hAnsi="仿宋_GB2312" w:cs="仿宋_GB2312" w:hint="eastAsia" w:eastAsia="仿宋_GB2312"/>
          <w:color w:val="000000"/>
          <w:sz w:val="32"/>
          <w:szCs w:val="32"/>
        </w:rPr>
        <w:t>家庭成员应当尊重、关心、照料老年人。子女有赡养、保护和照顾父母的义务。</w:t>
      </w:r>
    </w:p>
    <w:p>
      <w:pPr>
        <w:pStyle w:val="Normal"/>
        <w:snapToGrid w:val="false"/>
        <w:spacing w:lineRule="atLeast" w:line="60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仿宋_GB2312" w:hAnsi="仿宋_GB2312" w:cs="仿宋_GB2312" w:hint="eastAsia" w:eastAsia="仿宋_GB2312"/>
          <w:color w:val="000000"/>
          <w:sz w:val="32"/>
          <w:szCs w:val="32"/>
        </w:rPr>
        <w:t>不得歧视、侮辱、虐待或者遗弃老年人。</w:t>
      </w:r>
    </w:p>
    <w:p>
      <w:pPr>
        <w:pStyle w:val="Normal"/>
        <w:snapToGrid w:val="false"/>
        <w:spacing w:lineRule="atLeast" w:line="600"/>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 xml:space="preserve">第八条  </w:t>
      </w:r>
      <w:r>
        <w:rPr>
          <w:rFonts w:ascii="仿宋_GB2312" w:hAnsi="仿宋_GB2312" w:cs="仿宋_GB2312" w:hint="eastAsia" w:eastAsia="仿宋_GB2312"/>
          <w:color w:val="000000"/>
          <w:sz w:val="32"/>
          <w:szCs w:val="32"/>
        </w:rPr>
        <w:t>县级以上人民政府对在养老服务中作出显著成绩的单位和个人给予表彰和奖励。</w:t>
      </w:r>
    </w:p>
    <w:p>
      <w:pPr>
        <w:pStyle w:val="Normal"/>
        <w:snapToGrid w:val="false"/>
        <w:rPr>
          <w:rFonts w:ascii="黑体;SimHei" w:hAnsi="黑体;SimHei" w:eastAsia="黑体;SimHei" w:cs="黑体;SimHei" w:hint="eastAsia"/>
          <w:color w:val="000000"/>
          <w:sz w:val="32"/>
          <w:szCs w:val="32"/>
        </w:rPr>
      </w:pPr>
      <w:r>
        <w:rPr>
          <w:rFonts w:eastAsia="仿宋_GB2312" w:cs="宋体;SimSun" w:hint="eastAsia" w:ascii="仿宋_GB2312" w:hAnsi="仿宋_GB2312"/>
          <w:color w:val="000000"/>
          <w:sz w:val="32"/>
          <w:szCs w:val="32"/>
        </w:rPr>
        <w:t xml:space="preserve">   </w:t>
      </w:r>
    </w:p>
    <w:p>
      <w:pPr>
        <w:pStyle w:val="Normal"/>
        <w:numPr>
          <w:ilvl w:val="0"/>
          <w:numId w:val="3"/>
        </w:numPr>
        <w:snapToGrid w:val="false"/>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规划与建设</w:t>
      </w:r>
    </w:p>
    <w:p>
      <w:pPr>
        <w:pStyle w:val="Normal"/>
        <w:snapToGrid w:val="false"/>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spacing w:lineRule="atLeast" w:line="60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color w:val="000000"/>
          <w:sz w:val="32"/>
          <w:szCs w:val="32"/>
        </w:rPr>
        <w:t>第九条</w:t>
      </w:r>
      <w:r>
        <w:rPr>
          <w:rFonts w:ascii="黑体;SimHei" w:hAnsi="黑体;SimHei" w:cs="黑体;SimHei" w:hint="eastAsia" w:eastAsia="黑体;SimHei"/>
          <w:sz w:val="32"/>
          <w:szCs w:val="32"/>
        </w:rPr>
        <w:t xml:space="preserve">  </w:t>
      </w:r>
      <w:r>
        <w:rPr>
          <w:rFonts w:ascii="仿宋_GB2312" w:hAnsi="仿宋_GB2312" w:cs="仿宋_GB2312" w:hint="eastAsia" w:eastAsia="仿宋_GB2312"/>
          <w:sz w:val="32"/>
          <w:szCs w:val="32"/>
        </w:rPr>
        <w:t>民政部门应当会同发展改革、财政、住房城乡建设、国土资源、环境保护、卫生计生等主管部门，编制本地区养老服务设施布局规划，经本级人民政府批准后实施。</w:t>
      </w:r>
    </w:p>
    <w:p>
      <w:pPr>
        <w:pStyle w:val="Normal"/>
        <w:snapToGrid w:val="false"/>
        <w:spacing w:lineRule="atLeas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color w:val="000000"/>
          <w:sz w:val="32"/>
          <w:szCs w:val="32"/>
        </w:rPr>
        <w:t>县级以上人民政府在制定城乡总体规划、控制性详细规划时，应当按照规定和标准，分区分级规划安排养老服务设施用地。</w:t>
      </w:r>
    </w:p>
    <w:p>
      <w:pPr>
        <w:pStyle w:val="Normal"/>
        <w:snapToGrid w:val="false"/>
        <w:spacing w:lineRule="atLeast" w:line="600"/>
        <w:ind w:firstLineChars="200" w:startChars="0" w:start="0" w:endChars="0" w:end="0"/>
        <w:rPr>
          <w:rFonts w:ascii="仿宋_GB2312" w:hAnsi="仿宋_GB2312" w:eastAsia="仿宋_GB2312" w:cs="仿宋_GB2312" w:hint="eastAsia"/>
          <w:color w:val="000000"/>
          <w:kern w:val="0"/>
          <w:sz w:val="32"/>
          <w:szCs w:val="32"/>
          <w:bdr w:val="single" w:sz="4" w:space="0" w:color="000000"/>
        </w:rPr>
      </w:pPr>
      <w:r>
        <w:rPr>
          <w:rFonts w:ascii="黑体;SimHei" w:hAnsi="黑体;SimHei" w:cs="黑体;SimHei" w:hint="eastAsia" w:eastAsia="黑体;SimHei"/>
          <w:color w:val="000000"/>
          <w:sz w:val="32"/>
          <w:szCs w:val="32"/>
        </w:rPr>
        <w:t>第十条</w:t>
      </w:r>
      <w:r>
        <w:rPr>
          <w:rFonts w:ascii="仿宋_GB2312" w:hAnsi="仿宋_GB2312" w:cs="宋体;SimSun"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养老服务设施的规划和建设应当充分考虑老年人口数量、服务便利性和服务半径等因素，符合国家和自治区</w:t>
      </w:r>
      <w:r>
        <w:rPr>
          <w:rFonts w:ascii="仿宋_GB2312" w:hAnsi="仿宋_GB2312" w:cs="仿宋_GB2312" w:hint="eastAsia" w:eastAsia="仿宋_GB2312"/>
          <w:color w:val="3E3E40"/>
          <w:kern w:val="0"/>
          <w:sz w:val="32"/>
          <w:szCs w:val="32"/>
        </w:rPr>
        <w:t>老年人设施建设规范和标准，满足环境保护、消防安全、卫生防疫、食品安全等要求</w:t>
      </w:r>
      <w:r>
        <w:rPr>
          <w:rFonts w:ascii="仿宋_GB2312" w:hAnsi="仿宋_GB2312" w:cs="仿宋_GB2312" w:hint="eastAsia" w:eastAsia="仿宋_GB2312"/>
          <w:color w:val="000000"/>
          <w:kern w:val="0"/>
          <w:sz w:val="32"/>
          <w:szCs w:val="32"/>
        </w:rPr>
        <w:t>。</w:t>
      </w:r>
    </w:p>
    <w:p>
      <w:pPr>
        <w:pStyle w:val="Normal"/>
        <w:snapToGrid w:val="false"/>
        <w:spacing w:lineRule="atLeast" w:line="60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w:t>
      </w:r>
      <w:r>
        <w:rPr>
          <w:rFonts w:ascii="仿宋_GB2312" w:hAnsi="仿宋_GB2312" w:cs="仿宋" w:hint="eastAsia" w:eastAsia="仿宋_GB2312"/>
          <w:color w:val="000000"/>
          <w:sz w:val="32"/>
          <w:szCs w:val="32"/>
        </w:rPr>
        <w:t>新建城区和居住（小）区应当按标准配套建设养老服务设施，并同步规划、同步建设、同步验收、同步交付使用。</w:t>
      </w:r>
    </w:p>
    <w:p>
      <w:pPr>
        <w:pStyle w:val="Normal"/>
        <w:snapToGrid w:val="false"/>
        <w:spacing w:lineRule="atLeast" w:line="60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老城区和已建成居住（小）区无养老服务设施或者现有设施不能满足老年人需要的，应当增建或者通过购置、置换、租赁等方式建设养老服务设施。</w:t>
      </w:r>
    </w:p>
    <w:p>
      <w:pPr>
        <w:pStyle w:val="Normal"/>
        <w:snapToGrid w:val="false"/>
        <w:spacing w:lineRule="atLeast" w:line="600"/>
        <w:rPr/>
      </w:pPr>
      <w:r>
        <w:rPr>
          <w:rFonts w:eastAsia="仿宋_GB2312" w:cs="仿宋" w:hint="eastAsia" w:ascii="仿宋_GB2312" w:hAnsi="仿宋_GB2312"/>
          <w:color w:val="000000"/>
          <w:sz w:val="32"/>
          <w:szCs w:val="32"/>
        </w:rPr>
        <w:t xml:space="preserve">  </w:t>
      </w: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第十二条</w:t>
      </w:r>
      <w:r>
        <w:rPr>
          <w:rFonts w:ascii="仿宋_GB2312" w:hAnsi="仿宋_GB2312" w:cs="仿宋" w:hint="eastAsia" w:eastAsia="仿宋_GB2312"/>
          <w:color w:val="000000"/>
          <w:sz w:val="32"/>
          <w:szCs w:val="32"/>
        </w:rPr>
        <w:t xml:space="preserve">  县、乡（镇）人民政府应当依托行政村、较</w:t>
      </w:r>
      <w:r>
        <w:rPr>
          <w:rFonts w:ascii="仿宋_GB2312" w:hAnsi="仿宋_GB2312" w:cs="仿宋_GB2312" w:hint="eastAsia" w:eastAsia="仿宋_GB2312"/>
          <w:color w:val="000000"/>
          <w:sz w:val="32"/>
          <w:szCs w:val="32"/>
        </w:rPr>
        <w:t>大自然村，建设老年人日间照料中心、农村幸福院、农村互助养老院等农村老年人服务设施。</w:t>
      </w:r>
    </w:p>
    <w:p>
      <w:pPr>
        <w:pStyle w:val="Normal"/>
        <w:snapToGrid w:val="false"/>
        <w:spacing w:lineRule="atLeast" w:line="600"/>
        <w:rPr>
          <w:rFonts w:ascii="仿宋_GB2312" w:hAnsi="仿宋_GB2312" w:eastAsia="仿宋_GB2312" w:cs="宋体;SimSun" w:hint="eastAsia"/>
          <w:color w:val="000000"/>
          <w:kern w:val="0"/>
          <w:sz w:val="32"/>
          <w:szCs w:val="32"/>
        </w:rPr>
      </w:pPr>
      <w:r>
        <w:rPr>
          <w:rFonts w:eastAsia="仿宋_GB2312" w:cs="仿宋" w:hint="eastAsia" w:ascii="仿宋_GB2312" w:hAnsi="仿宋_GB2312"/>
          <w:color w:val="000000"/>
          <w:sz w:val="32"/>
          <w:szCs w:val="32"/>
        </w:rPr>
        <w:t xml:space="preserve">    </w:t>
      </w:r>
      <w:r>
        <w:rPr>
          <w:rFonts w:ascii="黑体;SimHei" w:hAnsi="黑体;SimHei" w:cs="黑体;SimHei" w:hint="eastAsia" w:eastAsia="黑体;SimHei"/>
          <w:color w:val="000000"/>
          <w:sz w:val="32"/>
          <w:szCs w:val="32"/>
        </w:rPr>
        <w:t xml:space="preserve">第十三条  </w:t>
      </w:r>
      <w:r>
        <w:rPr>
          <w:rFonts w:ascii="仿宋_GB2312" w:hAnsi="仿宋_GB2312" w:cs="宋体;SimSun" w:hint="eastAsia" w:eastAsia="仿宋_GB2312"/>
          <w:color w:val="000000"/>
          <w:kern w:val="0"/>
          <w:sz w:val="32"/>
          <w:szCs w:val="32"/>
        </w:rPr>
        <w:t>县级以上人民政府应当加强居住区、城市道路、商业网点、</w:t>
      </w:r>
      <w:r>
        <w:rPr>
          <w:rFonts w:ascii="仿宋_GB2312" w:hAnsi="仿宋_GB2312" w:cs="仿宋_GB2312" w:hint="eastAsia" w:eastAsia="仿宋_GB2312"/>
          <w:color w:val="000000"/>
          <w:kern w:val="0"/>
          <w:sz w:val="32"/>
          <w:szCs w:val="32"/>
        </w:rPr>
        <w:t>文化体育场馆、旅游景点、交通等公共场所的无障碍设施建设和改造。</w:t>
      </w:r>
    </w:p>
    <w:p>
      <w:pPr>
        <w:pStyle w:val="Normal"/>
        <w:snapToGrid w:val="false"/>
        <w:spacing w:lineRule="atLeast" w:line="600"/>
        <w:rPr>
          <w:rFonts w:ascii="仿宋_GB2312" w:hAnsi="仿宋_GB2312" w:eastAsia="仿宋_GB2312" w:cs="宋体;SimSun" w:hint="eastAsia"/>
          <w:color w:val="3E3E40"/>
          <w:kern w:val="0"/>
          <w:sz w:val="32"/>
          <w:szCs w:val="32"/>
        </w:rPr>
      </w:pPr>
      <w:r>
        <w:rPr>
          <w:rFonts w:eastAsia="仿宋_GB2312" w:cs="宋体;SimSun" w:hint="eastAsia" w:ascii="仿宋_GB2312" w:hAnsi="仿宋_GB2312"/>
          <w:color w:val="000000"/>
          <w:kern w:val="0"/>
          <w:sz w:val="32"/>
          <w:szCs w:val="32"/>
        </w:rPr>
        <w:t xml:space="preserve">    </w:t>
      </w:r>
      <w:r>
        <w:rPr>
          <w:rFonts w:ascii="黑体;SimHei" w:hAnsi="黑体;SimHei" w:cs="黑体;SimHei" w:hint="eastAsia" w:eastAsia="黑体;SimHei"/>
          <w:color w:val="000000"/>
          <w:sz w:val="32"/>
          <w:szCs w:val="32"/>
        </w:rPr>
        <w:t>第十四条</w:t>
      </w:r>
      <w:r>
        <w:rPr>
          <w:rFonts w:ascii="仿宋_GB2312" w:hAnsi="仿宋_GB2312" w:cs="仿宋_GB2312" w:hint="eastAsia" w:eastAsia="仿宋_GB2312"/>
          <w:color w:val="000000"/>
          <w:sz w:val="32"/>
          <w:szCs w:val="32"/>
        </w:rPr>
        <w:t xml:space="preserve">  闲置的国有宾馆、招待所、培训中心、办公楼等适宜改造为养老服务设施的，财政、国有资产管理、国土资源等主管部门应当按照有关规定办理相关手续</w:t>
      </w:r>
      <w:r>
        <w:rPr>
          <w:rFonts w:ascii="仿宋_GB2312" w:hAnsi="仿宋_GB2312" w:cs="仿宋" w:hint="eastAsia" w:eastAsia="仿宋_GB2312"/>
          <w:color w:val="000000"/>
          <w:sz w:val="32"/>
          <w:szCs w:val="32"/>
        </w:rPr>
        <w:t>。</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sz w:val="32"/>
          <w:szCs w:val="32"/>
        </w:rPr>
        <w:t>第十五条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任何组织和个人不得擅自改变养老服务设施建设用地用途或者养老服务设施使用性质，不得侵占、损坏养老服务设施。</w:t>
      </w:r>
    </w:p>
    <w:p>
      <w:pPr>
        <w:pStyle w:val="Normal"/>
        <w:snapToGrid w:val="false"/>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第三章  养老服务</w:t>
      </w:r>
    </w:p>
    <w:p>
      <w:pPr>
        <w:pStyle w:val="Normal"/>
        <w:snapToGrid w:val="false"/>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spacing w:lineRule="atLeast" w:line="600"/>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kern w:val="0"/>
          <w:sz w:val="32"/>
          <w:szCs w:val="32"/>
        </w:rPr>
        <w:t xml:space="preserve">第十六条  </w:t>
      </w:r>
      <w:r>
        <w:rPr>
          <w:rFonts w:ascii="仿宋_GB2312" w:hAnsi="仿宋_GB2312" w:cs="仿宋_GB2312" w:hint="eastAsia" w:eastAsia="仿宋_GB2312"/>
          <w:color w:val="000000"/>
          <w:kern w:val="0"/>
          <w:sz w:val="32"/>
          <w:szCs w:val="32"/>
        </w:rPr>
        <w:t>县级人民政府应当建立养老服务评估制度，对老年人定期免费体检，建立健全老年人健康档案，实施分级分类管理和服务。</w:t>
      </w:r>
    </w:p>
    <w:p>
      <w:pPr>
        <w:pStyle w:val="Normal"/>
        <w:snapToGrid w:val="false"/>
        <w:spacing w:lineRule="atLeast" w:line="600"/>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 xml:space="preserve">第十七条  </w:t>
      </w:r>
      <w:r>
        <w:rPr>
          <w:rFonts w:ascii="仿宋_GB2312" w:hAnsi="仿宋_GB2312" w:cs="仿宋_GB2312" w:hint="eastAsia" w:eastAsia="仿宋_GB2312"/>
          <w:color w:val="000000"/>
          <w:sz w:val="32"/>
          <w:szCs w:val="32"/>
        </w:rPr>
        <w:t>县级以上人民政府应当建立健全居家养老扶持政策，支持社区老年人日间照料中心、老年人活动中心等开展养老活动，并通过签约、购买服务等方式为老年人提供生活照护等服务。</w:t>
      </w:r>
    </w:p>
    <w:p>
      <w:pPr>
        <w:pStyle w:val="Normal"/>
        <w:snapToGrid w:val="false"/>
        <w:spacing w:lineRule="atLeast" w:line="600"/>
        <w:ind w:firstLineChars="200" w:startChars="0" w:start="0" w:endChars="0" w:end="0"/>
        <w:rPr>
          <w:rFonts w:ascii="仿宋_GB2312" w:hAnsi="仿宋_GB2312" w:eastAsia="仿宋_GB2312" w:cs="仿宋" w:hint="eastAsia"/>
          <w:color w:val="000000"/>
          <w:sz w:val="32"/>
          <w:szCs w:val="32"/>
        </w:rPr>
      </w:pPr>
      <w:r>
        <w:rPr>
          <w:rFonts w:ascii="黑体;SimHei" w:hAnsi="黑体;SimHei" w:cs="黑体;SimHei" w:hint="eastAsia" w:eastAsia="黑体;SimHei"/>
          <w:color w:val="000000"/>
          <w:sz w:val="32"/>
          <w:szCs w:val="32"/>
        </w:rPr>
        <w:t>第十八条</w:t>
      </w:r>
      <w:r>
        <w:rPr>
          <w:rFonts w:ascii="仿宋_GB2312" w:hAnsi="仿宋_GB2312" w:cs="仿宋_GB2312" w:hint="eastAsia" w:eastAsia="仿宋_GB2312"/>
          <w:color w:val="000000"/>
          <w:sz w:val="32"/>
          <w:szCs w:val="32"/>
        </w:rPr>
        <w:t xml:space="preserve">  支持各类养老服务组织为居家老年人提供生活照料、家政服务、餐饮配送、医疗护理、精神慰藉、应急救助等服务。</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kern w:val="0"/>
          <w:sz w:val="32"/>
          <w:szCs w:val="32"/>
        </w:rPr>
        <w:t xml:space="preserve">第十九条  </w:t>
      </w:r>
      <w:r>
        <w:rPr>
          <w:rFonts w:ascii="仿宋_GB2312" w:hAnsi="仿宋_GB2312" w:cs="宋体;SimSun" w:hint="eastAsia" w:eastAsia="仿宋_GB2312"/>
          <w:color w:val="000000"/>
          <w:kern w:val="0"/>
          <w:sz w:val="32"/>
          <w:szCs w:val="32"/>
        </w:rPr>
        <w:t>鼓励有条件的单位和其他社会组织开放所属场所，为居家老年人提供就餐、文化、健身、娱乐等服务。</w:t>
      </w:r>
    </w:p>
    <w:p>
      <w:pPr>
        <w:pStyle w:val="Normal"/>
        <w:snapToGrid w:val="false"/>
        <w:spacing w:lineRule="atLeast" w:line="600"/>
        <w:ind w:firstLineChars="200" w:startChars="0" w:start="0" w:endChars="0" w:end="0"/>
        <w:rPr>
          <w:rFonts w:ascii="仿宋_GB2312" w:hAnsi="仿宋_GB2312" w:eastAsia="仿宋_GB2312" w:cs="宋体;SimSun" w:hint="eastAsia"/>
          <w:color w:val="000000"/>
          <w:kern w:val="0"/>
          <w:sz w:val="32"/>
          <w:szCs w:val="32"/>
          <w:bdr w:val="single" w:sz="4" w:space="0" w:color="000000"/>
        </w:rPr>
      </w:pPr>
      <w:r>
        <w:rPr>
          <w:rFonts w:ascii="仿宋_GB2312" w:hAnsi="仿宋_GB2312" w:cs="宋体;SimSun" w:hint="eastAsia" w:eastAsia="仿宋_GB2312"/>
          <w:color w:val="000000"/>
          <w:kern w:val="0"/>
          <w:sz w:val="32"/>
          <w:szCs w:val="32"/>
        </w:rPr>
        <w:t>鼓励养老机构利用自身资源优势，为居家的老年人</w:t>
      </w:r>
      <w:r>
        <w:rPr>
          <w:rFonts w:ascii="仿宋_GB2312" w:hAnsi="仿宋_GB2312" w:cs="仿宋_GB2312" w:hint="eastAsia" w:eastAsia="仿宋_GB2312"/>
          <w:color w:val="000000"/>
          <w:kern w:val="0"/>
          <w:sz w:val="32"/>
          <w:szCs w:val="32"/>
        </w:rPr>
        <w:t>提供</w:t>
      </w:r>
      <w:r>
        <w:rPr>
          <w:rFonts w:ascii="仿宋_GB2312" w:hAnsi="仿宋_GB2312" w:cs="宋体;SimSun" w:hint="eastAsia" w:eastAsia="仿宋_GB2312"/>
          <w:color w:val="000000"/>
          <w:kern w:val="0"/>
          <w:sz w:val="32"/>
          <w:szCs w:val="32"/>
        </w:rPr>
        <w:t>服务。</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sz w:val="32"/>
          <w:szCs w:val="32"/>
        </w:rPr>
        <w:t xml:space="preserve">第二十条  </w:t>
      </w:r>
      <w:r>
        <w:rPr>
          <w:rFonts w:ascii="仿宋_GB2312" w:hAnsi="仿宋_GB2312" w:cs="仿宋" w:hint="eastAsia" w:eastAsia="仿宋_GB2312"/>
          <w:color w:val="000000"/>
          <w:sz w:val="32"/>
          <w:szCs w:val="32"/>
        </w:rPr>
        <w:t>县</w:t>
      </w:r>
      <w:r>
        <w:rPr>
          <w:rFonts w:ascii="仿宋_GB2312" w:hAnsi="仿宋_GB2312" w:cs="仿宋_GB2312" w:hint="eastAsia" w:eastAsia="仿宋_GB2312"/>
          <w:color w:val="000000"/>
          <w:sz w:val="32"/>
          <w:szCs w:val="32"/>
        </w:rPr>
        <w:t>级以上人</w:t>
      </w:r>
      <w:r>
        <w:rPr>
          <w:rFonts w:ascii="仿宋_GB2312" w:hAnsi="仿宋_GB2312" w:cs="仿宋" w:hint="eastAsia" w:eastAsia="仿宋_GB2312"/>
          <w:color w:val="000000"/>
          <w:sz w:val="32"/>
          <w:szCs w:val="32"/>
        </w:rPr>
        <w:t>民政府应当推</w:t>
      </w:r>
      <w:r>
        <w:rPr>
          <w:rFonts w:ascii="仿宋_GB2312" w:hAnsi="仿宋_GB2312" w:cs="仿宋_GB2312" w:hint="eastAsia" w:eastAsia="仿宋_GB2312"/>
          <w:color w:val="000000"/>
          <w:sz w:val="32"/>
          <w:szCs w:val="32"/>
        </w:rPr>
        <w:t>广</w:t>
      </w:r>
      <w:r>
        <w:rPr>
          <w:rFonts w:ascii="仿宋_GB2312" w:hAnsi="仿宋_GB2312" w:cs="仿宋" w:hint="eastAsia" w:eastAsia="仿宋_GB2312"/>
          <w:color w:val="000000"/>
          <w:sz w:val="32"/>
          <w:szCs w:val="32"/>
        </w:rPr>
        <w:t>便民信息网、远程监控、无线呼叫等智能化技术方式，方便居家养老。</w:t>
      </w:r>
    </w:p>
    <w:p>
      <w:pPr>
        <w:pStyle w:val="Normal"/>
        <w:snapToGrid w:val="false"/>
        <w:spacing w:lineRule="atLeast" w:line="60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鼓励、支持养老服务组织运用互联网、物联网等技术手段，为居家老年人提供紧急呼叫、家政预约、健康咨询、物品代购、服务缴费等服务项目。</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kern w:val="0"/>
          <w:sz w:val="32"/>
          <w:szCs w:val="32"/>
        </w:rPr>
        <w:t>第二十一条</w:t>
      </w:r>
      <w:r>
        <w:rPr>
          <w:rFonts w:ascii="仿宋_GB2312" w:hAnsi="仿宋_GB2312" w:cs="宋体;SimSun" w:hint="eastAsia" w:eastAsia="仿宋_GB2312"/>
          <w:color w:val="000000"/>
          <w:kern w:val="0"/>
          <w:sz w:val="32"/>
          <w:szCs w:val="32"/>
        </w:rPr>
        <w:t xml:space="preserve">  </w:t>
      </w:r>
      <w:r>
        <w:rPr>
          <w:rFonts w:ascii="仿宋_GB2312" w:hAnsi="仿宋_GB2312" w:cs="仿宋_GB2312" w:hint="eastAsia" w:eastAsia="仿宋_GB2312"/>
          <w:color w:val="000000"/>
          <w:sz w:val="32"/>
          <w:szCs w:val="32"/>
        </w:rPr>
        <w:t>村（居）民委员会应当教育和引导家庭成员履行赡养、扶养义务，并组织开展各类活动，丰富居家老年人的精神文化生活。</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kern w:val="0"/>
          <w:sz w:val="32"/>
          <w:szCs w:val="32"/>
        </w:rPr>
        <w:t xml:space="preserve">第二十二条  </w:t>
      </w:r>
      <w:r>
        <w:rPr>
          <w:rFonts w:ascii="仿宋_GB2312" w:hAnsi="仿宋_GB2312" w:cs="仿宋" w:hint="eastAsia" w:eastAsia="仿宋_GB2312"/>
          <w:color w:val="000000"/>
          <w:sz w:val="32"/>
          <w:szCs w:val="32"/>
        </w:rPr>
        <w:t>鼓励邻里互助养老和居家老年人互助服务。</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sz w:val="32"/>
          <w:szCs w:val="32"/>
        </w:rPr>
        <w:t xml:space="preserve">第二十三条  </w:t>
      </w:r>
      <w:r>
        <w:rPr>
          <w:rFonts w:ascii="仿宋_GB2312" w:hAnsi="仿宋_GB2312" w:cs="仿宋" w:hint="eastAsia" w:eastAsia="仿宋_GB2312"/>
          <w:color w:val="000000"/>
          <w:sz w:val="32"/>
          <w:szCs w:val="32"/>
        </w:rPr>
        <w:t>养老机构应当</w:t>
      </w:r>
      <w:r>
        <w:rPr>
          <w:rFonts w:ascii="仿宋_GB2312" w:hAnsi="仿宋_GB2312" w:cs="仿宋_GB2312" w:hint="eastAsia" w:eastAsia="仿宋_GB2312"/>
          <w:color w:val="000000"/>
          <w:sz w:val="32"/>
          <w:szCs w:val="32"/>
        </w:rPr>
        <w:t>依法设立</w:t>
      </w:r>
      <w:r>
        <w:rPr>
          <w:rFonts w:ascii="仿宋_GB2312" w:hAnsi="仿宋_GB2312" w:cs="仿宋" w:hint="eastAsia" w:eastAsia="仿宋_GB2312"/>
          <w:color w:val="000000"/>
          <w:sz w:val="32"/>
          <w:szCs w:val="32"/>
        </w:rPr>
        <w:t>。</w:t>
      </w:r>
    </w:p>
    <w:p>
      <w:pPr>
        <w:pStyle w:val="Normal"/>
        <w:snapToGrid w:val="false"/>
        <w:spacing w:lineRule="atLeast" w:line="600"/>
        <w:rPr/>
      </w:pPr>
      <w:r>
        <w:rPr>
          <w:rFonts w:eastAsia="黑体;SimHei" w:cs="黑体;SimHei" w:hint="eastAsia" w:ascii="黑体;SimHei" w:hAnsi="黑体;SimHei"/>
          <w:color w:val="000000"/>
          <w:sz w:val="32"/>
          <w:szCs w:val="32"/>
        </w:rPr>
        <w:t xml:space="preserve">    </w:t>
      </w:r>
      <w:r>
        <w:rPr>
          <w:rFonts w:ascii="仿宋_GB2312" w:hAnsi="仿宋_GB2312" w:cs="仿宋" w:hint="eastAsia" w:eastAsia="仿宋_GB2312"/>
          <w:color w:val="000000"/>
          <w:sz w:val="32"/>
          <w:szCs w:val="32"/>
        </w:rPr>
        <w:t>养老机构因暂停或者终止养老</w:t>
      </w:r>
      <w:r>
        <w:rPr>
          <w:rFonts w:ascii="仿宋_GB2312" w:hAnsi="仿宋_GB2312" w:cs="仿宋_GB2312" w:hint="eastAsia" w:eastAsia="仿宋_GB2312"/>
          <w:color w:val="000000"/>
          <w:sz w:val="32"/>
          <w:szCs w:val="32"/>
        </w:rPr>
        <w:t>服务的，应当提前六十日向民政部门提交老年人安置方案。民政部门、养老机构所在社区，应当协调监督做好相关事宜。</w:t>
      </w:r>
    </w:p>
    <w:p>
      <w:pPr>
        <w:pStyle w:val="Normal"/>
        <w:snapToGrid w:val="false"/>
        <w:spacing w:lineRule="atLeast" w:line="600"/>
        <w:ind w:firstLineChars="200" w:startChars="0" w:start="0" w:endChars="0" w:end="0"/>
        <w:jc w:val="start"/>
        <w:rPr>
          <w:rFonts w:ascii="黑体;SimHei" w:hAnsi="黑体;SimHei" w:eastAsia="黑体;SimHei" w:cs="黑体;SimHei" w:hint="eastAsia"/>
          <w:color w:val="000000"/>
          <w:kern w:val="0"/>
          <w:sz w:val="32"/>
          <w:szCs w:val="32"/>
        </w:rPr>
      </w:pPr>
      <w:r>
        <w:rPr>
          <w:rFonts w:ascii="黑体;SimHei" w:hAnsi="黑体;SimHei" w:cs="黑体;SimHei" w:hint="eastAsia" w:eastAsia="黑体;SimHei"/>
          <w:color w:val="000000"/>
          <w:sz w:val="32"/>
          <w:szCs w:val="32"/>
        </w:rPr>
        <w:t>第二十四条</w:t>
      </w:r>
      <w:r>
        <w:rPr>
          <w:rFonts w:hint="eastAsia" w:eastAsia="仿宋_GB2312"/>
          <w:color w:val="000000"/>
          <w:sz w:val="32"/>
          <w:szCs w:val="32"/>
        </w:rPr>
        <w:t xml:space="preserve">   </w:t>
      </w:r>
      <w:r>
        <w:rPr>
          <w:rFonts w:ascii="仿宋_GB2312" w:hAnsi="仿宋_GB2312" w:cs="宋体;SimSun" w:hint="eastAsia" w:eastAsia="仿宋_GB2312"/>
          <w:color w:val="000000"/>
          <w:kern w:val="0"/>
          <w:sz w:val="32"/>
          <w:szCs w:val="32"/>
        </w:rPr>
        <w:t>政府投资举办的养老机构</w:t>
      </w:r>
      <w:r>
        <w:rPr>
          <w:rFonts w:ascii="仿宋_GB2312" w:hAnsi="仿宋_GB2312" w:cs="仿宋_GB2312" w:hint="eastAsia" w:eastAsia="仿宋_GB2312"/>
          <w:color w:val="000000"/>
          <w:kern w:val="0"/>
          <w:sz w:val="32"/>
          <w:szCs w:val="32"/>
        </w:rPr>
        <w:t>应当</w:t>
      </w:r>
      <w:r>
        <w:rPr>
          <w:rFonts w:ascii="仿宋_GB2312" w:hAnsi="仿宋_GB2312" w:cs="宋体;SimSun" w:hint="eastAsia" w:eastAsia="仿宋_GB2312"/>
          <w:color w:val="000000"/>
          <w:kern w:val="0"/>
          <w:sz w:val="32"/>
          <w:szCs w:val="32"/>
        </w:rPr>
        <w:t>保障特困供养人员的养老服务需求。</w:t>
      </w:r>
    </w:p>
    <w:p>
      <w:pPr>
        <w:pStyle w:val="Normal"/>
        <w:snapToGrid w:val="false"/>
        <w:spacing w:lineRule="atLeast" w:line="6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在保障特困供养老年人养老服务需求的前提下，政府投资举办的养老机构可以向社会开放，提供有偿养老服务。最低生活保障家庭中的失能、失智、高龄、独居以及高龄优抚对象、计划生育特殊家庭、劳动模范等有特殊困难的老年人，应当优先收住。</w:t>
      </w:r>
    </w:p>
    <w:p>
      <w:pPr>
        <w:pStyle w:val="Normal"/>
        <w:snapToGrid w:val="false"/>
        <w:spacing w:lineRule="atLeast" w:line="600"/>
        <w:ind w:firstLineChars="200" w:startChars="0" w:start="0" w:endChars="0" w:end="0"/>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 xml:space="preserve">第二十五条  </w:t>
      </w:r>
      <w:r>
        <w:rPr>
          <w:rFonts w:ascii="仿宋_GB2312" w:hAnsi="仿宋_GB2312" w:cs="仿宋_GB2312" w:hint="eastAsia" w:eastAsia="仿宋_GB2312"/>
          <w:color w:val="000000"/>
          <w:sz w:val="32"/>
          <w:szCs w:val="32"/>
        </w:rPr>
        <w:t>鼓励、支持企业、个人和其他社会组织投资建设养老机构，提供养老服务。</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sz w:val="32"/>
          <w:szCs w:val="32"/>
        </w:rPr>
        <w:t>第二十六条</w:t>
      </w:r>
      <w:r>
        <w:rPr>
          <w:rFonts w:ascii="仿宋_GB2312" w:hAnsi="仿宋_GB2312" w:cs="仿宋_GB2312" w:hint="eastAsia" w:eastAsia="仿宋_GB2312"/>
          <w:color w:val="000000"/>
          <w:sz w:val="32"/>
          <w:szCs w:val="32"/>
        </w:rPr>
        <w:t xml:space="preserve">  养老机构应当与收住的老年人或者其代理人订立养老服务合同，明确双方的权利和义务</w:t>
      </w:r>
      <w:r>
        <w:rPr>
          <w:rFonts w:ascii="黑体;SimHei" w:hAnsi="黑体;SimHei" w:cs="黑体;SimHei" w:hint="eastAsia" w:eastAsia="黑体;SimHei"/>
          <w:color w:val="000000"/>
          <w:sz w:val="32"/>
          <w:szCs w:val="32"/>
        </w:rPr>
        <w:t>。</w:t>
      </w:r>
    </w:p>
    <w:p>
      <w:pPr>
        <w:pStyle w:val="Normal"/>
        <w:snapToGrid w:val="false"/>
        <w:spacing w:lineRule="atLeas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养老机构应当按照养老服务合同的约定和服务标准，为收住的老年人提供服务。</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sz w:val="32"/>
          <w:szCs w:val="32"/>
        </w:rPr>
        <w:t>第二十七条</w:t>
      </w:r>
      <w:r>
        <w:rPr>
          <w:rFonts w:ascii="仿宋_GB2312" w:hAnsi="仿宋_GB2312" w:cs="仿宋" w:hint="eastAsia" w:eastAsia="仿宋_GB2312"/>
          <w:color w:val="000000"/>
          <w:sz w:val="32"/>
          <w:szCs w:val="32"/>
        </w:rPr>
        <w:t xml:space="preserve">  政府投资举办的养老机构的基本服务收费，按照国家和自治区有关规定实行政府指导价；其他养老机构的服务收费实行自主定价。</w:t>
      </w:r>
    </w:p>
    <w:p>
      <w:pPr>
        <w:pStyle w:val="Normal"/>
        <w:snapToGrid w:val="false"/>
        <w:spacing w:lineRule="atLeast" w:line="600"/>
        <w:ind w:firstLineChars="200" w:startChars="0" w:start="0" w:endChars="0" w:end="0"/>
        <w:rPr>
          <w:rFonts w:ascii="黑体;SimHei" w:hAnsi="黑体;SimHei" w:eastAsia="黑体;SimHei" w:cs="黑体;SimHei" w:hint="eastAsia"/>
          <w:color w:val="000000"/>
          <w:sz w:val="32"/>
          <w:szCs w:val="32"/>
          <w:bdr w:val="single" w:sz="4" w:space="0" w:color="000000"/>
        </w:rPr>
      </w:pPr>
      <w:r>
        <w:rPr>
          <w:rFonts w:ascii="仿宋_GB2312" w:hAnsi="仿宋_GB2312" w:cs="仿宋" w:hint="eastAsia" w:eastAsia="仿宋_GB2312"/>
          <w:color w:val="000000"/>
          <w:sz w:val="32"/>
          <w:szCs w:val="32"/>
        </w:rPr>
        <w:t>养老机构应当公示各类服务项目的收费标</w:t>
      </w:r>
      <w:r>
        <w:rPr>
          <w:rFonts w:ascii="仿宋_GB2312" w:hAnsi="仿宋_GB2312" w:cs="仿宋_GB2312" w:hint="eastAsia" w:eastAsia="仿宋_GB2312"/>
          <w:color w:val="000000"/>
          <w:sz w:val="32"/>
          <w:szCs w:val="32"/>
        </w:rPr>
        <w:t>准和依据</w:t>
      </w:r>
      <w:r>
        <w:rPr>
          <w:rFonts w:ascii="黑体;SimHei" w:hAnsi="黑体;SimHei" w:cs="黑体;SimHei" w:hint="eastAsia" w:eastAsia="黑体;SimHei"/>
          <w:color w:val="000000"/>
          <w:sz w:val="32"/>
          <w:szCs w:val="32"/>
        </w:rPr>
        <w:t>。</w:t>
      </w:r>
    </w:p>
    <w:p>
      <w:pPr>
        <w:pStyle w:val="Normal"/>
        <w:shd w:fill="FFFFFF" w:val="clear"/>
        <w:snapToGrid w:val="false"/>
        <w:spacing w:lineRule="atLeast" w:line="600"/>
        <w:jc w:val="start"/>
        <w:rPr/>
      </w:pPr>
      <w:r>
        <w:rPr>
          <w:rFonts w:eastAsia="黑体;SimHei" w:cs="黑体;SimHei" w:hint="eastAsia" w:ascii="黑体;SimHei" w:hAnsi="黑体;SimHei"/>
          <w:color w:val="000000"/>
          <w:kern w:val="0"/>
          <w:sz w:val="32"/>
          <w:szCs w:val="32"/>
        </w:rPr>
        <w:t xml:space="preserve">    </w:t>
      </w:r>
      <w:r>
        <w:rPr>
          <w:rFonts w:ascii="黑体;SimHei" w:hAnsi="黑体;SimHei" w:cs="黑体;SimHei" w:hint="eastAsia" w:eastAsia="黑体;SimHei"/>
          <w:color w:val="000000"/>
          <w:kern w:val="0"/>
          <w:sz w:val="32"/>
          <w:szCs w:val="32"/>
        </w:rPr>
        <w:t>第二十八条</w:t>
      </w:r>
      <w:r>
        <w:rPr>
          <w:rFonts w:ascii="仿宋_GB2312" w:hAnsi="仿宋_GB2312" w:cs="宋体;SimSun" w:hint="eastAsia" w:eastAsia="仿宋_GB2312"/>
          <w:color w:val="000000"/>
          <w:kern w:val="0"/>
          <w:sz w:val="32"/>
          <w:szCs w:val="32"/>
        </w:rPr>
        <w:t xml:space="preserve">  县级以上人民政府应当建立健全医疗卫生机构与养老机构</w:t>
      </w:r>
      <w:r>
        <w:rPr>
          <w:rFonts w:ascii="仿宋_GB2312" w:hAnsi="仿宋_GB2312" w:cs="仿宋_GB2312" w:hint="eastAsia" w:eastAsia="仿宋_GB2312"/>
          <w:color w:val="000000"/>
          <w:kern w:val="0"/>
          <w:sz w:val="32"/>
          <w:szCs w:val="32"/>
        </w:rPr>
        <w:t>医养结合工作机</w:t>
      </w:r>
      <w:r>
        <w:rPr>
          <w:rFonts w:ascii="仿宋_GB2312" w:hAnsi="仿宋_GB2312" w:cs="宋体;SimSun" w:hint="eastAsia" w:eastAsia="仿宋_GB2312"/>
          <w:color w:val="000000"/>
          <w:kern w:val="0"/>
          <w:sz w:val="32"/>
          <w:szCs w:val="32"/>
        </w:rPr>
        <w:t>制，为老年人提供医疗服务。</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sz w:val="32"/>
          <w:szCs w:val="32"/>
        </w:rPr>
        <w:t xml:space="preserve">第二十九条  </w:t>
      </w:r>
      <w:r>
        <w:rPr>
          <w:rFonts w:ascii="仿宋_GB2312" w:hAnsi="仿宋_GB2312" w:cs="仿宋_GB2312" w:hint="eastAsia" w:eastAsia="仿宋_GB2312"/>
          <w:color w:val="000000"/>
          <w:sz w:val="32"/>
          <w:szCs w:val="32"/>
        </w:rPr>
        <w:t>养老机构可以与医疗机构签订合作协议，为入住老年人</w:t>
      </w:r>
      <w:r>
        <w:rPr>
          <w:rFonts w:ascii="仿宋_GB2312" w:hAnsi="仿宋_GB2312" w:cs="仿宋" w:hint="eastAsia" w:eastAsia="仿宋_GB2312"/>
          <w:color w:val="000000"/>
          <w:sz w:val="32"/>
          <w:szCs w:val="32"/>
        </w:rPr>
        <w:t>开通预约就诊绿色通道，提供医疗巡诊、健康管理、</w:t>
      </w:r>
      <w:r>
        <w:rPr>
          <w:rFonts w:ascii="仿宋_GB2312" w:hAnsi="仿宋_GB2312" w:cs="仿宋_GB2312" w:hint="eastAsia" w:eastAsia="仿宋_GB2312"/>
          <w:color w:val="000000"/>
          <w:sz w:val="32"/>
          <w:szCs w:val="32"/>
        </w:rPr>
        <w:t>医疗护理、预约就诊、急诊急救、中医养生、精神慰藉等服务</w:t>
      </w:r>
      <w:r>
        <w:rPr>
          <w:rFonts w:ascii="仿宋_GB2312" w:hAnsi="仿宋_GB2312" w:cs="仿宋" w:hint="eastAsia" w:eastAsia="仿宋_GB2312"/>
          <w:color w:val="000000"/>
          <w:sz w:val="32"/>
          <w:szCs w:val="32"/>
        </w:rPr>
        <w:t>。</w:t>
      </w:r>
    </w:p>
    <w:p>
      <w:pPr>
        <w:pStyle w:val="Normal"/>
        <w:snapToGrid w:val="false"/>
        <w:spacing w:lineRule="atLeas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建立医疗机构、社区卫生服务机构与居家老年人开展家庭医生签约服务机制，为老年人提供上门巡诊和家庭病床等服务。</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sz w:val="32"/>
          <w:szCs w:val="32"/>
        </w:rPr>
        <w:t>第三十条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养老机构可以依法设立内部医疗机构（诊所、卫生室、医疗室）</w:t>
      </w:r>
      <w:r>
        <w:rPr>
          <w:rFonts w:eastAsia="仿宋_GB2312" w:cs="仿宋_GB2312" w:hint="eastAsia" w:ascii="仿宋_GB2312" w:hAnsi="仿宋_GB2312"/>
          <w:color w:val="000000"/>
          <w:sz w:val="32"/>
          <w:szCs w:val="32"/>
        </w:rPr>
        <w:t>,</w:t>
      </w:r>
      <w:r>
        <w:rPr>
          <w:rFonts w:ascii="仿宋_GB2312" w:hAnsi="仿宋_GB2312" w:cs="仿宋" w:hint="eastAsia" w:eastAsia="仿宋_GB2312"/>
          <w:color w:val="000000"/>
          <w:sz w:val="32"/>
          <w:szCs w:val="32"/>
        </w:rPr>
        <w:t>符合基本医疗保险协议机构准入条件的，纳入基本医疗保险协议机构管理范围。</w:t>
      </w:r>
    </w:p>
    <w:p>
      <w:pPr>
        <w:pStyle w:val="Normal"/>
        <w:snapToGrid w:val="false"/>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p>
    <w:p>
      <w:pPr>
        <w:pStyle w:val="Normal"/>
        <w:snapToGrid w:val="false"/>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第四章  养老扶持</w:t>
      </w:r>
    </w:p>
    <w:p>
      <w:pPr>
        <w:pStyle w:val="Normal"/>
        <w:shd w:fill="FFFFFF" w:val="clear"/>
        <w:snapToGrid w:val="false"/>
        <w:ind w:firstLine="645" w:end="0"/>
        <w:jc w:val="start"/>
        <w:rPr>
          <w:rFonts w:ascii="黑体;SimHei" w:hAnsi="黑体;SimHei" w:eastAsia="黑体;SimHei" w:cs="黑体;SimHei" w:hint="eastAsia"/>
          <w:color w:val="000000"/>
          <w:sz w:val="32"/>
          <w:szCs w:val="21"/>
        </w:rPr>
      </w:pPr>
      <w:r>
        <w:rPr>
          <w:rFonts w:eastAsia="黑体;SimHei" w:cs="黑体;SimHei" w:hint="eastAsia" w:ascii="黑体;SimHei" w:hAnsi="黑体;SimHei"/>
          <w:color w:val="000000"/>
          <w:sz w:val="32"/>
          <w:szCs w:val="21"/>
        </w:rPr>
      </w:r>
    </w:p>
    <w:p>
      <w:pPr>
        <w:pStyle w:val="Normal"/>
        <w:shd w:fill="FFFFFF" w:val="clear"/>
        <w:snapToGrid w:val="false"/>
        <w:spacing w:lineRule="atLeast" w:line="600"/>
        <w:ind w:firstLine="645" w:end="0"/>
        <w:jc w:val="start"/>
        <w:rPr/>
      </w:pPr>
      <w:r>
        <w:rPr>
          <w:rFonts w:ascii="黑体;SimHei" w:hAnsi="黑体;SimHei" w:cs="黑体;SimHei" w:hint="eastAsia" w:eastAsia="黑体;SimHei"/>
          <w:sz w:val="32"/>
          <w:szCs w:val="32"/>
        </w:rPr>
        <w:t xml:space="preserve">第三十一条  </w:t>
      </w:r>
      <w:r>
        <w:rPr>
          <w:rFonts w:ascii="仿宋_GB2312" w:hAnsi="仿宋_GB2312" w:cs="仿宋_GB2312" w:hint="eastAsia" w:eastAsia="仿宋_GB2312"/>
          <w:sz w:val="32"/>
          <w:szCs w:val="32"/>
        </w:rPr>
        <w:t>自治区财政应当每年统筹安排一定资金，用于养老服务设施建设和养老服务工作。</w:t>
      </w:r>
    </w:p>
    <w:p>
      <w:pPr>
        <w:pStyle w:val="Normal"/>
        <w:shd w:fill="FFFFFF" w:val="clear"/>
        <w:snapToGrid w:val="false"/>
        <w:spacing w:lineRule="atLeast" w:line="600"/>
        <w:ind w:firstLine="645"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对符合条件的养老机构及其他养老服务组织，县级以上人民政府应当给予建设补贴和运营补贴。</w:t>
      </w:r>
    </w:p>
    <w:p>
      <w:pPr>
        <w:pStyle w:val="Normal"/>
        <w:shd w:fill="FFFFFF" w:val="clear"/>
        <w:snapToGrid w:val="false"/>
        <w:spacing w:lineRule="atLeast" w:line="600"/>
        <w:ind w:firstLine="645" w:end="0"/>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县级以上人民政府本级福利彩票公益金的百分之五十以上应当用于发展养老服务业。</w:t>
      </w:r>
    </w:p>
    <w:p>
      <w:pPr>
        <w:pStyle w:val="Normal"/>
        <w:shd w:fill="FFFFFF" w:val="clear"/>
        <w:snapToGrid w:val="false"/>
        <w:spacing w:lineRule="atLeast" w:line="600"/>
        <w:ind w:firstLineChars="200" w:startChars="0" w:start="0" w:endChars="0" w:end="0"/>
        <w:jc w:val="start"/>
        <w:rPr/>
      </w:pPr>
      <w:r>
        <w:rPr>
          <w:rFonts w:ascii="黑体;SimHei" w:hAnsi="黑体;SimHei" w:cs="黑体;SimHei" w:hint="eastAsia" w:eastAsia="黑体;SimHei"/>
          <w:color w:val="000000"/>
          <w:sz w:val="32"/>
          <w:szCs w:val="32"/>
        </w:rPr>
        <w:t>第三十二条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县级以上人民政府应当通过公建民营、合资合作等方式，支持社会力量运营政府投资建设的养老服务设施；或者通过民办公助、特许经营、购买服务、提供补贴等方式，鼓励和支持社会力量举办养老机构和老年康复医院、老年护理院等医养结合机构。</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kern w:val="0"/>
          <w:sz w:val="32"/>
          <w:szCs w:val="32"/>
        </w:rPr>
        <w:t>第三十三条</w:t>
      </w:r>
      <w:r>
        <w:rPr>
          <w:rFonts w:ascii="仿宋_GB2312" w:hAnsi="仿宋_GB2312" w:cs="宋体;SimSun"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县级以上人民政府应当对生活长期不能自理、经济困难的老年人给予护理补贴。</w:t>
      </w:r>
    </w:p>
    <w:p>
      <w:pPr>
        <w:pStyle w:val="Normal"/>
        <w:snapToGrid w:val="false"/>
        <w:spacing w:lineRule="atLeast" w:line="60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县级以上人民政府应当对经济困难的老年人给予养老服务补贴。</w:t>
      </w:r>
    </w:p>
    <w:p>
      <w:pPr>
        <w:pStyle w:val="Normal"/>
        <w:snapToGrid w:val="false"/>
        <w:spacing w:lineRule="atLeast" w:line="600"/>
        <w:ind w:firstLineChars="200" w:startChars="0" w:start="0" w:endChars="0" w:end="0"/>
        <w:rPr/>
      </w:pPr>
      <w:r>
        <w:rPr>
          <w:rFonts w:ascii="仿宋_GB2312" w:hAnsi="仿宋_GB2312" w:cs="仿宋_GB2312" w:hint="eastAsia" w:eastAsia="仿宋_GB2312"/>
          <w:color w:val="000000"/>
          <w:kern w:val="0"/>
          <w:sz w:val="32"/>
          <w:szCs w:val="32"/>
        </w:rPr>
        <w:t>对</w:t>
      </w:r>
      <w:r>
        <w:rPr>
          <w:rFonts w:ascii="仿宋_GB2312" w:hAnsi="仿宋_GB2312" w:cs="仿宋_GB2312" w:hint="eastAsia" w:eastAsia="仿宋_GB2312"/>
          <w:color w:val="000000"/>
          <w:sz w:val="32"/>
          <w:szCs w:val="32"/>
        </w:rPr>
        <w:t>特困供养老年人和经济困难的高龄、失能、失智的居家老年人，由所在地县级人民政府依照有关规定给予救助。</w:t>
      </w:r>
    </w:p>
    <w:p>
      <w:pPr>
        <w:pStyle w:val="Normal"/>
        <w:snapToGrid w:val="false"/>
        <w:spacing w:lineRule="atLeast" w:line="60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鼓励养老机构投保责任保险，保险公司承保责任保险。</w:t>
      </w:r>
    </w:p>
    <w:p>
      <w:pPr>
        <w:pStyle w:val="Normal"/>
        <w:shd w:fill="FFFFFF" w:val="clear"/>
        <w:snapToGrid w:val="false"/>
        <w:spacing w:lineRule="atLeast" w:line="600"/>
        <w:jc w:val="start"/>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kern w:val="0"/>
          <w:sz w:val="32"/>
          <w:szCs w:val="32"/>
        </w:rPr>
        <w:t>第三十四条</w:t>
      </w:r>
      <w:r>
        <w:rPr>
          <w:rFonts w:ascii="仿宋_GB2312" w:hAnsi="仿宋_GB2312" w:cs="宋体;SimSun"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非营利性养老机构申请养老服务设施建设用地，可以依法划拨供应。</w:t>
      </w:r>
    </w:p>
    <w:p>
      <w:pPr>
        <w:pStyle w:val="Normal"/>
        <w:shd w:fill="FFFFFF" w:val="clear"/>
        <w:snapToGrid w:val="false"/>
        <w:spacing w:lineRule="atLeast" w:line="600"/>
        <w:ind w:firstLineChars="200" w:startChars="0" w:start="0" w:endChars="0" w:end="0"/>
        <w:jc w:val="start"/>
        <w:rPr/>
      </w:pPr>
      <w:r>
        <w:rPr>
          <w:rFonts w:ascii="仿宋_GB2312" w:hAnsi="仿宋_GB2312" w:cs="仿宋_GB2312" w:hint="eastAsia" w:eastAsia="仿宋_GB2312"/>
          <w:color w:val="000000"/>
          <w:kern w:val="0"/>
          <w:sz w:val="32"/>
          <w:szCs w:val="32"/>
        </w:rPr>
        <w:t>营利性养老机构申请建设用地，按照国家经营性用地有偿使用的规定，优先保障供应</w:t>
      </w:r>
      <w:r>
        <w:rPr>
          <w:rFonts w:ascii="仿宋_GB2312" w:hAnsi="仿宋_GB2312" w:cs="宋体;SimSun" w:hint="eastAsia" w:eastAsia="仿宋_GB2312"/>
          <w:color w:val="000000"/>
          <w:kern w:val="0"/>
          <w:sz w:val="32"/>
          <w:szCs w:val="32"/>
        </w:rPr>
        <w:t>。</w:t>
      </w:r>
    </w:p>
    <w:p>
      <w:pPr>
        <w:pStyle w:val="Normal"/>
        <w:shd w:fill="FFFFFF" w:val="clear"/>
        <w:snapToGrid w:val="false"/>
        <w:spacing w:lineRule="atLeast" w:line="600"/>
        <w:ind w:firstLine="645" w:end="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利用城乡空闲厂房、学校、社区用房等设施，投资兴办民营养老服务机构的，依法享受有关用地优惠政策。</w:t>
      </w:r>
    </w:p>
    <w:p>
      <w:pPr>
        <w:pStyle w:val="Normal"/>
        <w:shd w:fill="FFFFFF" w:val="clear"/>
        <w:snapToGrid w:val="false"/>
        <w:spacing w:lineRule="atLeast" w:line="600"/>
        <w:ind w:firstLine="645" w:end="0"/>
        <w:jc w:val="start"/>
        <w:rPr>
          <w:rFonts w:ascii="仿宋_GB2312" w:hAnsi="仿宋_GB2312" w:eastAsia="仿宋_GB2312" w:cs="宋体;SimSun" w:hint="eastAsia"/>
          <w:color w:val="3E3E40"/>
          <w:kern w:val="0"/>
          <w:sz w:val="32"/>
          <w:szCs w:val="32"/>
        </w:rPr>
      </w:pPr>
      <w:r>
        <w:rPr>
          <w:rFonts w:ascii="仿宋_GB2312" w:hAnsi="仿宋_GB2312" w:cs="宋体;SimSun" w:hint="eastAsia" w:eastAsia="仿宋_GB2312"/>
          <w:color w:val="3E3E40"/>
          <w:kern w:val="0"/>
          <w:sz w:val="32"/>
          <w:szCs w:val="32"/>
        </w:rPr>
        <w:t>国有公益性用地应当安排部分用地作为养老服务设施建设用地，并纳入国有建设用地供应计划。</w:t>
      </w:r>
    </w:p>
    <w:p>
      <w:pPr>
        <w:pStyle w:val="Normal"/>
        <w:shd w:fill="FFFFFF" w:val="clear"/>
        <w:snapToGrid w:val="false"/>
        <w:spacing w:lineRule="atLeast" w:line="600"/>
        <w:ind w:firstLine="645" w:end="0"/>
        <w:jc w:val="start"/>
        <w:rPr>
          <w:rFonts w:ascii="仿宋_GB2312" w:hAnsi="仿宋_GB2312" w:eastAsia="仿宋_GB2312" w:cs="宋体;SimSun" w:hint="eastAsia"/>
          <w:color w:val="000000"/>
          <w:kern w:val="0"/>
          <w:sz w:val="32"/>
          <w:szCs w:val="32"/>
        </w:rPr>
      </w:pPr>
      <w:r>
        <w:rPr>
          <w:rFonts w:ascii="黑体;SimHei" w:hAnsi="黑体;SimHei" w:cs="黑体;SimHei" w:hint="eastAsia" w:eastAsia="黑体;SimHei"/>
          <w:color w:val="000000"/>
          <w:kern w:val="0"/>
          <w:sz w:val="32"/>
          <w:szCs w:val="32"/>
        </w:rPr>
        <w:t xml:space="preserve">第三十五条  </w:t>
      </w:r>
      <w:r>
        <w:rPr>
          <w:rFonts w:ascii="仿宋_GB2312" w:hAnsi="仿宋_GB2312" w:cs="宋体;SimSun" w:hint="eastAsia" w:eastAsia="仿宋_GB2312"/>
          <w:color w:val="000000"/>
          <w:kern w:val="0"/>
          <w:sz w:val="32"/>
          <w:szCs w:val="32"/>
        </w:rPr>
        <w:t>养老机构等养老服务</w:t>
      </w:r>
      <w:r>
        <w:rPr>
          <w:rFonts w:ascii="仿宋_GB2312" w:hAnsi="仿宋_GB2312" w:cs="仿宋_GB2312" w:hint="eastAsia" w:eastAsia="仿宋_GB2312"/>
          <w:color w:val="000000"/>
          <w:kern w:val="0"/>
          <w:sz w:val="32"/>
          <w:szCs w:val="32"/>
        </w:rPr>
        <w:t>组织享受国家和自治区税费优惠政策。</w:t>
      </w:r>
    </w:p>
    <w:p>
      <w:pPr>
        <w:pStyle w:val="Normal"/>
        <w:snapToGrid w:val="false"/>
        <w:spacing w:lineRule="atLeast" w:line="60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企事业单位、社会团体和个人向非营利性养老机构的捐赠，符合相关规定的，在计算其应纳税所得额时，按税收法律、行政法规规定比例扣除。</w:t>
      </w:r>
    </w:p>
    <w:p>
      <w:pPr>
        <w:pStyle w:val="Normal"/>
        <w:snapToGrid w:val="false"/>
        <w:spacing w:lineRule="atLeast" w:line="60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仿宋_GB2312" w:hint="eastAsia" w:eastAsia="仿宋_GB2312"/>
          <w:color w:val="000000"/>
          <w:kern w:val="0"/>
          <w:sz w:val="32"/>
          <w:szCs w:val="32"/>
        </w:rPr>
        <w:t>养老机构建设和养老服务组织提供养老服务，应当免除行政事业性收费；养老机构用电、用水、用气、用热，应当执行居民生活类价格。</w:t>
      </w:r>
    </w:p>
    <w:p>
      <w:pPr>
        <w:pStyle w:val="Normal"/>
        <w:shd w:fill="FFFFFF" w:val="clear"/>
        <w:snapToGrid w:val="false"/>
        <w:spacing w:lineRule="atLeast" w:line="600"/>
        <w:jc w:val="start"/>
        <w:rPr>
          <w:rFonts w:ascii="黑体;SimHei" w:hAnsi="黑体;SimHei" w:eastAsia="黑体;SimHei" w:cs="黑体;SimHei" w:hint="eastAsia"/>
          <w:color w:val="000000"/>
          <w:sz w:val="32"/>
          <w:szCs w:val="32"/>
        </w:rPr>
      </w:pPr>
      <w:r>
        <w:rPr>
          <w:rFonts w:eastAsia="楷体" w:cs="楷体" w:hint="eastAsia" w:ascii="楷体" w:hAnsi="楷体"/>
          <w:color w:val="000000"/>
          <w:sz w:val="32"/>
          <w:szCs w:val="32"/>
        </w:rPr>
        <w:t xml:space="preserve">    </w:t>
      </w:r>
      <w:r>
        <w:rPr>
          <w:rFonts w:ascii="黑体;SimHei" w:hAnsi="黑体;SimHei" w:cs="黑体;SimHei" w:hint="eastAsia" w:eastAsia="黑体;SimHei"/>
          <w:color w:val="000000"/>
          <w:sz w:val="32"/>
          <w:szCs w:val="32"/>
        </w:rPr>
        <w:t>第三十六条</w:t>
      </w:r>
      <w:r>
        <w:rPr>
          <w:rFonts w:ascii="仿宋_GB2312" w:hAnsi="仿宋_GB2312" w:cs="仿宋" w:hint="eastAsia" w:eastAsia="仿宋_GB2312"/>
          <w:color w:val="000000"/>
          <w:sz w:val="32"/>
          <w:szCs w:val="32"/>
        </w:rPr>
        <w:t xml:space="preserve">  </w:t>
      </w:r>
      <w:r>
        <w:rPr>
          <w:rFonts w:ascii="仿宋_GB2312" w:hAnsi="仿宋_GB2312" w:cs="仿宋_GB2312" w:hint="eastAsia" w:eastAsia="仿宋_GB2312"/>
          <w:color w:val="000000"/>
          <w:sz w:val="32"/>
          <w:szCs w:val="32"/>
        </w:rPr>
        <w:t>县级以上人民政府应当建立养老服务人才培养、使用、评价和激励机制，依法规范养老服务用工，促进养老服务从业人员劳动报酬合理增长。</w:t>
      </w:r>
    </w:p>
    <w:p>
      <w:pPr>
        <w:pStyle w:val="Normal"/>
        <w:shd w:fill="FFFFFF" w:val="clear"/>
        <w:snapToGrid w:val="false"/>
        <w:spacing w:lineRule="atLeast" w:line="600"/>
        <w:jc w:val="start"/>
        <w:rPr/>
      </w:pPr>
      <w:r>
        <w:rPr>
          <w:rFonts w:eastAsia="黑体;SimHei" w:cs="黑体;SimHei" w:hint="eastAsia" w:ascii="黑体;SimHei" w:hAnsi="黑体;SimHei"/>
          <w:color w:val="000000"/>
          <w:kern w:val="0"/>
          <w:sz w:val="32"/>
          <w:szCs w:val="32"/>
        </w:rPr>
        <w:t xml:space="preserve">    </w:t>
      </w:r>
      <w:r>
        <w:rPr>
          <w:rFonts w:ascii="黑体;SimHei" w:hAnsi="黑体;SimHei" w:cs="黑体;SimHei" w:hint="eastAsia" w:eastAsia="黑体;SimHei"/>
          <w:color w:val="000000"/>
          <w:kern w:val="0"/>
          <w:sz w:val="32"/>
          <w:szCs w:val="32"/>
        </w:rPr>
        <w:t xml:space="preserve">第三十七条  </w:t>
      </w:r>
      <w:r>
        <w:rPr>
          <w:rFonts w:ascii="仿宋_GB2312" w:hAnsi="仿宋_GB2312" w:cs="宋体;SimSun" w:hint="eastAsia" w:eastAsia="仿宋_GB2312"/>
          <w:color w:val="000000"/>
          <w:kern w:val="0"/>
          <w:sz w:val="32"/>
          <w:szCs w:val="32"/>
        </w:rPr>
        <w:t>支持高等学校、中等职业学校和培训机构，设置老年医学、康复、护理、社会工作等养老服务相关专业或者培训项目，在养老机构设立实习基地，培养养老服务专业人才。</w:t>
      </w:r>
    </w:p>
    <w:p>
      <w:pPr>
        <w:pStyle w:val="Normal"/>
        <w:shd w:fill="FFFFFF" w:val="clear"/>
        <w:snapToGrid w:val="false"/>
        <w:spacing w:lineRule="atLeast" w:line="600"/>
        <w:ind w:firstLineChars="196" w:startChars="0" w:start="0" w:endChars="0" w:end="0"/>
        <w:jc w:val="start"/>
        <w:rPr/>
      </w:pPr>
      <w:r>
        <w:rPr>
          <w:rFonts w:ascii="仿宋_GB2312" w:hAnsi="仿宋_GB2312" w:cs="宋体;SimSun" w:hint="eastAsia" w:eastAsia="仿宋_GB2312"/>
          <w:color w:val="000000"/>
          <w:kern w:val="0"/>
          <w:sz w:val="32"/>
          <w:szCs w:val="32"/>
        </w:rPr>
        <w:t>鼓励养老机构、医疗卫生</w:t>
      </w:r>
      <w:r>
        <w:rPr>
          <w:rFonts w:ascii="仿宋_GB2312" w:hAnsi="仿宋_GB2312" w:cs="仿宋_GB2312" w:hint="eastAsia" w:eastAsia="仿宋_GB2312"/>
          <w:color w:val="000000"/>
          <w:kern w:val="0"/>
          <w:sz w:val="32"/>
          <w:szCs w:val="32"/>
        </w:rPr>
        <w:t>机构对养老护理人员进行免费职</w:t>
      </w:r>
      <w:r>
        <w:rPr>
          <w:rFonts w:ascii="仿宋_GB2312" w:hAnsi="仿宋_GB2312" w:cs="宋体;SimSun" w:hint="eastAsia" w:eastAsia="仿宋_GB2312"/>
          <w:color w:val="000000"/>
          <w:kern w:val="0"/>
          <w:sz w:val="32"/>
          <w:szCs w:val="32"/>
        </w:rPr>
        <w:t>业技能培训。</w:t>
      </w:r>
    </w:p>
    <w:p>
      <w:pPr>
        <w:pStyle w:val="Normal"/>
        <w:shd w:fill="FFFFFF" w:val="clear"/>
        <w:snapToGrid w:val="false"/>
        <w:spacing w:lineRule="atLeast" w:line="600"/>
        <w:ind w:firstLineChars="196" w:startChars="0" w:start="0" w:endChars="0" w:end="0"/>
        <w:jc w:val="start"/>
        <w:rPr/>
      </w:pPr>
      <w:r>
        <w:rPr>
          <w:rFonts w:ascii="黑体;SimHei" w:hAnsi="黑体;SimHei" w:cs="黑体;SimHei" w:hint="eastAsia" w:eastAsia="黑体;SimHei"/>
          <w:color w:val="000000"/>
          <w:kern w:val="0"/>
          <w:sz w:val="32"/>
          <w:szCs w:val="32"/>
        </w:rPr>
        <w:t>第三十八条</w:t>
      </w:r>
      <w:r>
        <w:rPr>
          <w:rFonts w:ascii="仿宋_GB2312" w:hAnsi="仿宋_GB2312" w:cs="宋体;SimSun" w:hint="eastAsia" w:eastAsia="仿宋_GB2312"/>
          <w:color w:val="000000"/>
          <w:kern w:val="0"/>
          <w:sz w:val="32"/>
          <w:szCs w:val="32"/>
        </w:rPr>
        <w:t xml:space="preserve">  专业养老护理人员应当参加职业技能培</w:t>
      </w:r>
      <w:r>
        <w:rPr>
          <w:rFonts w:ascii="仿宋_GB2312" w:hAnsi="仿宋_GB2312" w:cs="仿宋_GB2312" w:hint="eastAsia" w:eastAsia="仿宋_GB2312"/>
          <w:color w:val="000000"/>
          <w:kern w:val="0"/>
          <w:sz w:val="32"/>
          <w:szCs w:val="32"/>
        </w:rPr>
        <w:t>训和职业道德教育，提高业务能力和职业道德素养。</w:t>
      </w:r>
    </w:p>
    <w:p>
      <w:pPr>
        <w:pStyle w:val="Normal"/>
        <w:snapToGrid w:val="false"/>
        <w:spacing w:lineRule="atLeast" w:line="600"/>
        <w:ind w:firstLineChars="200" w:startChars="0" w:start="0" w:endChars="0" w:end="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专业养老护理人员参加养老服务护理职业技能培训和职业技能鉴定的，按照自治区有关规定享受培训和鉴定补贴。</w:t>
      </w:r>
    </w:p>
    <w:p>
      <w:pPr>
        <w:pStyle w:val="Normal"/>
        <w:shd w:fill="FFFFFF" w:val="clear"/>
        <w:snapToGrid w:val="false"/>
        <w:spacing w:lineRule="atLeast" w:line="600"/>
        <w:jc w:val="start"/>
        <w:rPr/>
      </w:pPr>
      <w:r>
        <w:rPr>
          <w:rFonts w:eastAsia="黑体;SimHei" w:cs="黑体;SimHei" w:hint="eastAsia" w:ascii="黑体;SimHei" w:hAnsi="黑体;SimHei"/>
          <w:color w:val="000000"/>
          <w:kern w:val="0"/>
          <w:sz w:val="32"/>
          <w:szCs w:val="32"/>
        </w:rPr>
        <w:t xml:space="preserve">    </w:t>
      </w:r>
      <w:r>
        <w:rPr>
          <w:rFonts w:ascii="黑体;SimHei" w:hAnsi="黑体;SimHei" w:cs="黑体;SimHei" w:hint="eastAsia" w:eastAsia="黑体;SimHei"/>
          <w:color w:val="000000"/>
          <w:kern w:val="0"/>
          <w:sz w:val="32"/>
          <w:szCs w:val="32"/>
        </w:rPr>
        <w:t>第三十九条</w:t>
      </w:r>
      <w:r>
        <w:rPr>
          <w:rFonts w:ascii="仿宋_GB2312" w:hAnsi="仿宋_GB2312" w:cs="宋体;SimSun"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鼓励志愿者利用自己的时间、技能、体能、物质为邻居、社区、养老服务组织的老年人提供服务。</w:t>
      </w:r>
    </w:p>
    <w:p>
      <w:pPr>
        <w:pStyle w:val="Normal"/>
        <w:shd w:fill="FFFFFF" w:val="clear"/>
        <w:snapToGrid w:val="false"/>
        <w:spacing w:lineRule="atLeast" w:line="600"/>
        <w:ind w:firstLine="645" w:end="0"/>
        <w:jc w:val="start"/>
        <w:rPr/>
      </w:pPr>
      <w:r>
        <w:rPr>
          <w:rFonts w:ascii="仿宋_GB2312" w:hAnsi="仿宋_GB2312" w:cs="仿宋_GB2312" w:hint="eastAsia" w:eastAsia="仿宋_GB2312"/>
          <w:color w:val="000000"/>
          <w:sz w:val="32"/>
          <w:szCs w:val="32"/>
        </w:rPr>
        <w:t>养老服务主管部门应当建立</w:t>
      </w:r>
      <w:r>
        <w:rPr>
          <w:rFonts w:ascii="仿宋_GB2312" w:hAnsi="仿宋_GB2312" w:cs="仿宋" w:hint="eastAsia" w:eastAsia="仿宋_GB2312"/>
          <w:color w:val="000000"/>
          <w:sz w:val="32"/>
          <w:szCs w:val="32"/>
        </w:rPr>
        <w:t>为老年人志愿服务时间储蓄制度</w:t>
      </w:r>
      <w:r>
        <w:rPr>
          <w:rFonts w:ascii="仿宋_GB2312" w:hAnsi="仿宋_GB2312" w:cs="宋体;SimSun" w:hint="eastAsia" w:eastAsia="仿宋_GB2312"/>
          <w:color w:val="000000"/>
          <w:kern w:val="0"/>
          <w:sz w:val="32"/>
          <w:szCs w:val="32"/>
        </w:rPr>
        <w:t>，志愿者可以根据其志愿服务时间储蓄优先享受社会养老服务。</w:t>
      </w:r>
    </w:p>
    <w:p>
      <w:pPr>
        <w:pStyle w:val="Normal"/>
        <w:snapToGrid w:val="false"/>
        <w:spacing w:lineRule="atLeast" w:line="600"/>
        <w:ind w:firstLineChars="200" w:startChars="0" w:start="0" w:endChars="0" w:end="0"/>
        <w:jc w:val="start"/>
        <w:rPr/>
      </w:pPr>
      <w:r>
        <w:rPr>
          <w:rFonts w:ascii="黑体;SimHei" w:hAnsi="黑体;SimHei" w:cs="黑体;SimHei" w:hint="eastAsia" w:eastAsia="黑体;SimHei"/>
          <w:color w:val="000000"/>
          <w:sz w:val="32"/>
          <w:szCs w:val="32"/>
        </w:rPr>
        <w:t xml:space="preserve">第四十条  </w:t>
      </w:r>
      <w:r>
        <w:rPr>
          <w:rFonts w:ascii="仿宋_GB2312" w:hAnsi="仿宋_GB2312" w:cs="仿宋" w:hint="eastAsia" w:eastAsia="仿宋_GB2312"/>
          <w:color w:val="000000"/>
          <w:sz w:val="32"/>
          <w:szCs w:val="32"/>
        </w:rPr>
        <w:t>鼓励社会组织和个人以捐赠、捐助等方式支持养老服务发展。</w:t>
      </w:r>
    </w:p>
    <w:p>
      <w:pPr>
        <w:pStyle w:val="Normal"/>
        <w:shd w:fill="FFFFFF" w:val="clear"/>
        <w:snapToGrid w:val="false"/>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p>
    <w:p>
      <w:pPr>
        <w:pStyle w:val="Normal"/>
        <w:shd w:fill="FFFFFF" w:val="clear"/>
        <w:snapToGrid w:val="false"/>
        <w:rPr>
          <w:rFonts w:ascii="黑体;SimHei" w:hAnsi="黑体;SimHei" w:eastAsia="黑体;SimHei" w:cs="黑体;SimHei" w:hint="eastAsia"/>
          <w:color w:val="000000"/>
          <w:sz w:val="32"/>
          <w:szCs w:val="32"/>
          <w:bdr w:val="single" w:sz="4" w:space="0" w:color="000000"/>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第五章  养老监管</w:t>
      </w:r>
      <w:r>
        <w:rPr>
          <w:rFonts w:ascii="宋体;SimSun" w:hAnsi="宋体;SimSun" w:cs="宋体;SimSun" w:hint="eastAsia" w:eastAsia="仿宋_GB2312"/>
          <w:color w:val="000000"/>
          <w:sz w:val="32"/>
          <w:szCs w:val="32"/>
        </w:rPr>
        <w:t> </w:t>
      </w:r>
    </w:p>
    <w:p>
      <w:pPr>
        <w:pStyle w:val="Normal"/>
        <w:shd w:fill="FFFFFF" w:val="clear"/>
        <w:snapToGrid w:val="false"/>
        <w:ind w:firstLineChars="200" w:startChars="0" w:start="0" w:endChars="0" w:end="0"/>
        <w:jc w:val="start"/>
        <w:rPr>
          <w:rFonts w:ascii="黑体;SimHei" w:hAnsi="黑体;SimHei" w:eastAsia="黑体;SimHei" w:cs="黑体;SimHei" w:hint="eastAsia"/>
          <w:color w:val="000000"/>
          <w:sz w:val="32"/>
          <w:szCs w:val="32"/>
          <w:bdr w:val="single" w:sz="4" w:space="0" w:color="000000"/>
        </w:rPr>
      </w:pPr>
      <w:r>
        <w:rPr>
          <w:rFonts w:eastAsia="黑体;SimHei" w:cs="黑体;SimHei" w:hint="eastAsia" w:ascii="黑体;SimHei" w:hAnsi="黑体;SimHei"/>
          <w:color w:val="000000"/>
          <w:sz w:val="32"/>
          <w:szCs w:val="32"/>
          <w:bdr w:val="single" w:sz="4" w:space="0" w:color="000000"/>
        </w:rPr>
      </w:r>
    </w:p>
    <w:p>
      <w:pPr>
        <w:pStyle w:val="Normal"/>
        <w:shd w:fill="FFFFFF" w:val="clear"/>
        <w:snapToGrid w:val="false"/>
        <w:spacing w:lineRule="atLeast" w:line="600"/>
        <w:ind w:firstLineChars="200" w:startChars="0" w:start="0" w:endChars="0" w:end="0"/>
        <w:jc w:val="start"/>
        <w:rPr/>
      </w:pPr>
      <w:r>
        <w:rPr>
          <w:rFonts w:ascii="黑体;SimHei" w:hAnsi="黑体;SimHei" w:cs="黑体;SimHei" w:hint="eastAsia" w:eastAsia="黑体;SimHei"/>
          <w:color w:val="000000"/>
          <w:sz w:val="32"/>
          <w:szCs w:val="32"/>
        </w:rPr>
        <w:t xml:space="preserve">第四十一条  </w:t>
      </w:r>
      <w:r>
        <w:rPr>
          <w:rFonts w:ascii="仿宋_GB2312" w:hAnsi="仿宋_GB2312" w:cs="仿宋_GB2312" w:hint="eastAsia" w:eastAsia="仿宋_GB2312"/>
          <w:color w:val="000000"/>
          <w:kern w:val="0"/>
          <w:sz w:val="32"/>
          <w:szCs w:val="32"/>
        </w:rPr>
        <w:t>自治区人民政府标准化主管部门应当会同民政部门，组织制定养老服务地方标准。鼓励养老机构制定高于地方标准的行业服务标准。</w:t>
      </w:r>
    </w:p>
    <w:p>
      <w:pPr>
        <w:pStyle w:val="Normal"/>
        <w:shd w:fill="FFFFFF" w:val="clear"/>
        <w:snapToGrid w:val="false"/>
        <w:spacing w:lineRule="atLeast" w:line="60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养老服务组织应当执行养老服务标准。</w:t>
      </w:r>
    </w:p>
    <w:p>
      <w:pPr>
        <w:pStyle w:val="Normal"/>
        <w:shd w:fill="FFFFFF" w:val="clear"/>
        <w:snapToGrid w:val="false"/>
        <w:spacing w:lineRule="atLeast" w:line="600"/>
        <w:ind w:firstLine="645" w:end="0"/>
        <w:jc w:val="start"/>
        <w:rPr>
          <w:rFonts w:ascii="黑体;SimHei" w:hAnsi="黑体;SimHei" w:eastAsia="黑体;SimHei" w:cs="黑体;SimHei" w:hint="eastAsia"/>
          <w:color w:val="000000"/>
          <w:kern w:val="0"/>
          <w:sz w:val="32"/>
          <w:szCs w:val="32"/>
        </w:rPr>
      </w:pPr>
      <w:r>
        <w:rPr>
          <w:rFonts w:ascii="黑体;SimHei" w:hAnsi="黑体;SimHei" w:cs="黑体;SimHei" w:hint="eastAsia" w:eastAsia="黑体;SimHei"/>
          <w:color w:val="000000"/>
          <w:kern w:val="0"/>
          <w:sz w:val="32"/>
          <w:szCs w:val="32"/>
        </w:rPr>
        <w:t>第四十二条</w:t>
      </w:r>
      <w:r>
        <w:rPr>
          <w:rFonts w:ascii="仿宋_GB2312" w:hAnsi="仿宋_GB2312" w:cs="宋体;SimSun" w:hint="eastAsia" w:eastAsia="仿宋_GB2312"/>
          <w:color w:val="000000"/>
          <w:kern w:val="0"/>
          <w:sz w:val="32"/>
          <w:szCs w:val="32"/>
        </w:rPr>
        <w:t xml:space="preserve">  民政部门应当定期组织专家或者委托第三方专业机构，对养老机</w:t>
      </w:r>
      <w:r>
        <w:rPr>
          <w:rFonts w:ascii="仿宋_GB2312" w:hAnsi="仿宋_GB2312" w:cs="仿宋_GB2312" w:hint="eastAsia" w:eastAsia="仿宋_GB2312"/>
          <w:color w:val="000000"/>
          <w:kern w:val="0"/>
          <w:sz w:val="32"/>
          <w:szCs w:val="32"/>
        </w:rPr>
        <w:t>构进行综合评估，并</w:t>
      </w:r>
      <w:r>
        <w:rPr>
          <w:rFonts w:ascii="仿宋_GB2312" w:hAnsi="仿宋_GB2312" w:cs="宋体;SimSun" w:hint="eastAsia" w:eastAsia="仿宋_GB2312"/>
          <w:color w:val="000000"/>
          <w:kern w:val="0"/>
          <w:sz w:val="32"/>
          <w:szCs w:val="32"/>
        </w:rPr>
        <w:t>将评估结果向社会公布。</w:t>
      </w:r>
    </w:p>
    <w:p>
      <w:pPr>
        <w:pStyle w:val="Normal"/>
        <w:pBdr/>
        <w:shd w:fill="FFFFFF" w:val="clear"/>
        <w:snapToGrid w:val="false"/>
        <w:spacing w:lineRule="atLeast" w:line="600"/>
        <w:jc w:val="start"/>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t xml:space="preserve">    </w:t>
      </w:r>
      <w:r>
        <w:rPr>
          <w:rFonts w:ascii="黑体;SimHei" w:hAnsi="黑体;SimHei" w:cs="黑体;SimHei" w:hint="eastAsia" w:eastAsia="黑体;SimHei"/>
          <w:color w:val="000000"/>
          <w:kern w:val="0"/>
          <w:sz w:val="32"/>
          <w:szCs w:val="32"/>
        </w:rPr>
        <w:t>第四十三条</w:t>
      </w:r>
      <w:r>
        <w:rPr>
          <w:rFonts w:ascii="仿宋_GB2312" w:hAnsi="仿宋_GB2312" w:cs="宋体;SimSun" w:hint="eastAsia" w:eastAsia="仿宋_GB2312"/>
          <w:color w:val="000000"/>
          <w:kern w:val="0"/>
          <w:sz w:val="32"/>
          <w:szCs w:val="32"/>
        </w:rPr>
        <w:t xml:space="preserve">  民政部门应当建立养老机构诚信档</w:t>
      </w:r>
      <w:r>
        <w:rPr>
          <w:rFonts w:ascii="仿宋_GB2312" w:hAnsi="仿宋_GB2312" w:cs="仿宋_GB2312" w:hint="eastAsia" w:eastAsia="仿宋_GB2312"/>
          <w:color w:val="000000"/>
          <w:kern w:val="0"/>
          <w:sz w:val="32"/>
          <w:szCs w:val="32"/>
        </w:rPr>
        <w:t>案，向社会公开，接受社会查询和监督。</w:t>
      </w:r>
    </w:p>
    <w:p>
      <w:pPr>
        <w:pStyle w:val="Normal"/>
        <w:shd w:fill="FFFFFF" w:val="clear"/>
        <w:snapToGrid w:val="false"/>
        <w:spacing w:lineRule="atLeast" w:line="600"/>
        <w:jc w:val="start"/>
        <w:rPr/>
      </w:pP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民政部门应当公开举报投诉电话、电子邮箱、网络平台等，受理对养老服务的举报和投诉，及时核实处理，并将处理结果告知举报人、投诉人。</w:t>
      </w:r>
    </w:p>
    <w:p>
      <w:pPr>
        <w:pStyle w:val="Normal"/>
        <w:shd w:fill="FFFFFF" w:val="clear"/>
        <w:snapToGrid w:val="false"/>
        <w:spacing w:lineRule="atLeast" w:line="600"/>
        <w:jc w:val="start"/>
        <w:rPr/>
      </w:pPr>
      <w:r>
        <w:rPr>
          <w:rFonts w:eastAsia="仿宋_GB2312" w:cs="宋体;SimSun" w:hint="eastAsia" w:ascii="仿宋_GB2312" w:hAnsi="仿宋_GB2312"/>
          <w:color w:val="000000"/>
          <w:kern w:val="0"/>
          <w:sz w:val="32"/>
          <w:szCs w:val="32"/>
        </w:rPr>
        <w:t xml:space="preserve">    </w:t>
      </w:r>
      <w:r>
        <w:rPr>
          <w:rFonts w:ascii="黑体;SimHei" w:hAnsi="黑体;SimHei" w:cs="黑体;SimHei" w:hint="eastAsia" w:eastAsia="黑体;SimHei"/>
          <w:color w:val="000000"/>
          <w:kern w:val="0"/>
          <w:sz w:val="32"/>
          <w:szCs w:val="32"/>
        </w:rPr>
        <w:t>第四十四条</w:t>
      </w:r>
      <w:r>
        <w:rPr>
          <w:rFonts w:ascii="仿宋_GB2312" w:hAnsi="仿宋_GB2312" w:cs="宋体;SimSun" w:hint="eastAsia" w:eastAsia="仿宋_GB2312"/>
          <w:color w:val="000000"/>
          <w:kern w:val="0"/>
          <w:sz w:val="32"/>
          <w:szCs w:val="32"/>
        </w:rPr>
        <w:t xml:space="preserve">  民政、食品药品监督管理、公安消防等主管部门应当对养老服务组织举办者和服务人员进行安全教育，对养老服务组织食品加工、服务场所进行检查</w:t>
      </w:r>
      <w:r>
        <w:rPr>
          <w:rFonts w:ascii="仿宋_GB2312" w:hAnsi="仿宋_GB2312" w:cs="仿宋_GB2312" w:hint="eastAsia" w:eastAsia="仿宋_GB2312"/>
          <w:color w:val="000000"/>
          <w:kern w:val="0"/>
          <w:sz w:val="32"/>
          <w:szCs w:val="32"/>
        </w:rPr>
        <w:t>，督促消</w:t>
      </w:r>
      <w:r>
        <w:rPr>
          <w:rFonts w:ascii="仿宋_GB2312" w:hAnsi="仿宋_GB2312" w:cs="宋体;SimSun" w:hint="eastAsia" w:eastAsia="仿宋_GB2312"/>
          <w:color w:val="000000"/>
          <w:kern w:val="0"/>
          <w:sz w:val="32"/>
          <w:szCs w:val="32"/>
        </w:rPr>
        <w:t>除安全隐患。</w:t>
      </w:r>
    </w:p>
    <w:p>
      <w:pPr>
        <w:pStyle w:val="Normal"/>
        <w:snapToGrid w:val="false"/>
        <w:spacing w:lineRule="atLeast" w:line="600"/>
        <w:rPr/>
      </w:pPr>
      <w:r>
        <w:rPr>
          <w:rFonts w:eastAsia="仿宋_GB2312" w:cs="仿宋" w:hint="eastAsia" w:ascii="仿宋_GB2312" w:hAnsi="仿宋_GB2312"/>
          <w:color w:val="000000"/>
          <w:sz w:val="32"/>
          <w:szCs w:val="32"/>
        </w:rPr>
        <w:t xml:space="preserve">    </w:t>
      </w:r>
      <w:r>
        <w:rPr>
          <w:rFonts w:ascii="黑体;SimHei" w:hAnsi="黑体;SimHei" w:cs="黑体;SimHei" w:hint="eastAsia" w:eastAsia="黑体;SimHei"/>
          <w:color w:val="000000"/>
          <w:kern w:val="0"/>
          <w:sz w:val="32"/>
          <w:szCs w:val="32"/>
        </w:rPr>
        <w:t xml:space="preserve">第四十五条  </w:t>
      </w:r>
      <w:r>
        <w:rPr>
          <w:rFonts w:ascii="仿宋_GB2312" w:hAnsi="仿宋_GB2312" w:cs="宋体;SimSun" w:hint="eastAsia" w:eastAsia="仿宋_GB2312"/>
          <w:color w:val="000000"/>
          <w:kern w:val="0"/>
          <w:sz w:val="32"/>
          <w:szCs w:val="32"/>
        </w:rPr>
        <w:t>审计、</w:t>
      </w:r>
      <w:r>
        <w:rPr>
          <w:rFonts w:ascii="仿宋_GB2312" w:hAnsi="仿宋_GB2312" w:cs="仿宋_GB2312" w:hint="eastAsia" w:eastAsia="仿宋_GB2312"/>
          <w:color w:val="000000"/>
          <w:kern w:val="0"/>
          <w:sz w:val="32"/>
          <w:szCs w:val="32"/>
        </w:rPr>
        <w:t>财政部门</w:t>
      </w:r>
      <w:r>
        <w:rPr>
          <w:rFonts w:ascii="仿宋_GB2312" w:hAnsi="仿宋_GB2312" w:cs="宋体;SimSun" w:hint="eastAsia" w:eastAsia="仿宋_GB2312"/>
          <w:color w:val="000000"/>
          <w:kern w:val="0"/>
          <w:sz w:val="32"/>
          <w:szCs w:val="32"/>
        </w:rPr>
        <w:t xml:space="preserve">应当按照国家有关规定，对政府投资设立或者接受政府补助、补贴的养老机构的资金使用情况进行监督，并依法向社会公布。 </w:t>
      </w:r>
    </w:p>
    <w:p>
      <w:pPr>
        <w:pStyle w:val="Normal"/>
        <w:snapToGrid w:val="false"/>
        <w:spacing w:lineRule="atLeast" w:line="600"/>
        <w:rPr/>
      </w:pPr>
      <w:r>
        <w:rPr>
          <w:rFonts w:eastAsia="仿宋_GB2312" w:cs="仿宋" w:hint="eastAsia" w:ascii="仿宋_GB2312" w:hAnsi="仿宋_GB2312"/>
          <w:color w:val="000000"/>
          <w:sz w:val="32"/>
          <w:szCs w:val="32"/>
        </w:rPr>
        <w:t xml:space="preserve">    </w:t>
      </w:r>
      <w:r>
        <w:rPr>
          <w:rFonts w:ascii="仿宋_GB2312" w:hAnsi="仿宋_GB2312" w:cs="仿宋" w:hint="eastAsia" w:eastAsia="仿宋_GB2312"/>
          <w:color w:val="000000"/>
          <w:sz w:val="32"/>
          <w:szCs w:val="32"/>
        </w:rPr>
        <w:t>价格主管部门应当依法开展价格管理监督，</w:t>
      </w:r>
      <w:r>
        <w:rPr>
          <w:rFonts w:ascii="仿宋_GB2312" w:hAnsi="仿宋_GB2312" w:cs="仿宋_GB2312" w:hint="eastAsia" w:eastAsia="仿宋_GB2312"/>
          <w:color w:val="000000"/>
          <w:sz w:val="32"/>
          <w:szCs w:val="32"/>
        </w:rPr>
        <w:t>查处价格违法行为。</w:t>
      </w:r>
    </w:p>
    <w:p>
      <w:pPr>
        <w:pStyle w:val="Normal"/>
        <w:pBdr/>
        <w:shd w:fill="FFFFFF" w:val="clear"/>
        <w:snapToGrid w:val="false"/>
        <w:ind w:firstLineChars="200" w:startChars="0" w:start="0" w:endChars="0" w:end="0"/>
        <w:jc w:val="start"/>
        <w:rPr>
          <w:rFonts w:ascii="黑体;SimHei" w:hAnsi="黑体;SimHei" w:eastAsia="黑体;SimHei" w:cs="黑体;SimHei" w:hint="eastAsia"/>
          <w:color w:val="000000"/>
          <w:sz w:val="32"/>
          <w:szCs w:val="32"/>
        </w:rPr>
      </w:pPr>
      <w:r>
        <w:rPr>
          <w:rFonts w:eastAsia="仿宋_GB2312" w:cs="宋体;SimSun" w:hint="eastAsia" w:ascii="仿宋_GB2312" w:hAnsi="仿宋_GB2312"/>
          <w:color w:val="000000"/>
          <w:kern w:val="0"/>
          <w:sz w:val="32"/>
          <w:szCs w:val="32"/>
        </w:rPr>
        <w:t xml:space="preserve">             </w:t>
      </w:r>
    </w:p>
    <w:p>
      <w:pPr>
        <w:pStyle w:val="Normal"/>
        <w:numPr>
          <w:ilvl w:val="0"/>
          <w:numId w:val="1"/>
        </w:numPr>
        <w:snapToGrid w:val="false"/>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法律责任</w:t>
      </w:r>
    </w:p>
    <w:p>
      <w:pPr>
        <w:pStyle w:val="Normal"/>
        <w:snapToGrid w:val="false"/>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spacing w:lineRule="atLeast" w:line="600"/>
        <w:rPr/>
      </w:pPr>
      <w:r>
        <w:rPr>
          <w:rFonts w:eastAsia="仿宋_GB2312" w:cs="宋体;SimSun" w:hint="eastAsia" w:ascii="仿宋_GB2312" w:hAnsi="仿宋_GB2312"/>
          <w:color w:val="000000"/>
          <w:sz w:val="32"/>
          <w:szCs w:val="32"/>
        </w:rPr>
        <w:t xml:space="preserve">    </w:t>
      </w:r>
      <w:r>
        <w:rPr>
          <w:rFonts w:ascii="黑体;SimHei" w:hAnsi="黑体;SimHei" w:cs="黑体;SimHei" w:hint="eastAsia" w:eastAsia="黑体;SimHei"/>
          <w:color w:val="000000"/>
          <w:sz w:val="32"/>
          <w:szCs w:val="32"/>
        </w:rPr>
        <w:t>第四十六条</w:t>
      </w:r>
      <w:r>
        <w:rPr>
          <w:rFonts w:ascii="仿宋_GB2312" w:hAnsi="仿宋_GB2312" w:cs="宋体;SimSun" w:hint="eastAsia" w:eastAsia="仿宋_GB2312"/>
          <w:color w:val="000000"/>
          <w:sz w:val="32"/>
          <w:szCs w:val="32"/>
        </w:rPr>
        <w:t xml:space="preserve">  </w:t>
      </w:r>
      <w:r>
        <w:rPr>
          <w:rFonts w:ascii="仿宋_GB2312" w:hAnsi="仿宋_GB2312" w:cs="仿宋_GB2312" w:hint="eastAsia" w:eastAsia="仿宋_GB2312"/>
          <w:color w:val="000000"/>
          <w:sz w:val="32"/>
          <w:szCs w:val="32"/>
        </w:rPr>
        <w:t>对养老机构负有管理和监督职责的部</w:t>
      </w:r>
      <w:r>
        <w:rPr>
          <w:rFonts w:ascii="仿宋_GB2312" w:hAnsi="仿宋_GB2312" w:cs="仿宋" w:hint="eastAsia" w:eastAsia="仿宋_GB2312"/>
          <w:color w:val="000000"/>
          <w:sz w:val="32"/>
          <w:szCs w:val="32"/>
        </w:rPr>
        <w:t>门及其工作人员滥用职权、玩忽职守、徇私舞弊的，对直接负责的主管人员和其他直接责任人员依法给予处分；</w:t>
      </w:r>
      <w:r>
        <w:rPr>
          <w:rFonts w:ascii="仿宋_GB2312" w:hAnsi="仿宋_GB2312" w:cs="仿宋_GB2312" w:hint="eastAsia" w:eastAsia="仿宋_GB2312"/>
          <w:color w:val="000000"/>
          <w:sz w:val="32"/>
          <w:szCs w:val="32"/>
        </w:rPr>
        <w:t>构成犯罪的，依法追究刑事责任。</w:t>
      </w:r>
    </w:p>
    <w:p>
      <w:pPr>
        <w:pStyle w:val="Normal"/>
        <w:snapToGrid w:val="false"/>
        <w:spacing w:lineRule="atLeast" w:line="600"/>
        <w:ind w:firstLineChars="196" w:startChars="0" w:start="0" w:endChars="0" w:end="0"/>
        <w:rPr/>
      </w:pPr>
      <w:r>
        <w:rPr>
          <w:rFonts w:ascii="黑体;SimHei" w:hAnsi="黑体;SimHei" w:cs="黑体;SimHei" w:hint="eastAsia" w:eastAsia="黑体;SimHei"/>
          <w:color w:val="000000"/>
          <w:sz w:val="32"/>
          <w:szCs w:val="32"/>
        </w:rPr>
        <w:t>第四十七条</w:t>
      </w:r>
      <w:r>
        <w:rPr>
          <w:rFonts w:ascii="仿宋_GB2312" w:hAnsi="仿宋_GB2312" w:cs="仿宋_GB2312" w:hint="eastAsia" w:eastAsia="仿宋_GB2312"/>
          <w:color w:val="000000"/>
          <w:sz w:val="32"/>
          <w:szCs w:val="32"/>
        </w:rPr>
        <w:t xml:space="preserve">  擅自改变养老服务设施使用性质的，由民政部门责令限期改正；逾期拒不改正的，责令退回政府建设补贴资金，处以一万元以上三万元以下的罚款。</w:t>
      </w:r>
      <w:r>
        <w:rPr>
          <w:rFonts w:ascii="黑体;SimHei" w:hAnsi="黑体;SimHei" w:cs="黑体;SimHei" w:hint="eastAsia" w:eastAsia="黑体;SimHei"/>
          <w:color w:val="000000"/>
          <w:sz w:val="32"/>
          <w:szCs w:val="32"/>
        </w:rPr>
        <w:t xml:space="preserve">  </w:t>
      </w:r>
    </w:p>
    <w:p>
      <w:pPr>
        <w:pStyle w:val="Normal"/>
        <w:snapToGrid w:val="false"/>
        <w:spacing w:lineRule="atLeast" w:line="600"/>
        <w:ind w:firstLineChars="196" w:startChars="0" w:start="0" w:endChars="0" w:end="0"/>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 xml:space="preserve">第四十八条  </w:t>
      </w:r>
      <w:r>
        <w:rPr>
          <w:rFonts w:ascii="仿宋_GB2312" w:hAnsi="仿宋_GB2312" w:cs="仿宋_GB2312" w:hint="eastAsia" w:eastAsia="仿宋_GB2312"/>
          <w:color w:val="000000"/>
          <w:sz w:val="32"/>
          <w:szCs w:val="32"/>
        </w:rPr>
        <w:t>单位或者个人骗取养老服务补贴的，由民政部门责令退回，并处骗取养老服务补贴数额二倍的罚款；构成犯罪的，依法追究刑事责任。</w:t>
      </w:r>
    </w:p>
    <w:p>
      <w:pPr>
        <w:pStyle w:val="Normal"/>
        <w:snapToGrid w:val="false"/>
        <w:spacing w:lineRule="atLeast" w:line="600"/>
        <w:rPr>
          <w:rFonts w:ascii="仿宋_GB2312" w:hAnsi="仿宋_GB2312" w:eastAsia="仿宋_GB2312" w:cs="仿宋"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第四十九条</w:t>
      </w:r>
      <w:r>
        <w:rPr>
          <w:rFonts w:ascii="仿宋_GB2312" w:hAnsi="仿宋_GB2312" w:cs="仿宋" w:hint="eastAsia" w:eastAsia="仿宋_GB2312"/>
          <w:color w:val="000000"/>
          <w:sz w:val="32"/>
          <w:szCs w:val="32"/>
        </w:rPr>
        <w:t xml:space="preserve">  违反本条例规定，侵占、损坏养老服务设施的</w:t>
      </w:r>
      <w:r>
        <w:rPr>
          <w:rFonts w:ascii="仿宋_GB2312" w:hAnsi="仿宋_GB2312" w:cs="仿宋_GB2312" w:hint="eastAsia" w:eastAsia="仿宋_GB2312"/>
          <w:color w:val="000000"/>
          <w:sz w:val="32"/>
          <w:szCs w:val="32"/>
        </w:rPr>
        <w:t>，由公安机关依法处罚；造成财产损失的，依法承担</w:t>
      </w:r>
      <w:r>
        <w:rPr>
          <w:rFonts w:ascii="仿宋_GB2312" w:hAnsi="仿宋_GB2312" w:cs="仿宋" w:hint="eastAsia" w:eastAsia="仿宋_GB2312"/>
          <w:color w:val="000000"/>
          <w:sz w:val="32"/>
          <w:szCs w:val="32"/>
        </w:rPr>
        <w:t>赔偿责任</w:t>
      </w:r>
      <w:r>
        <w:rPr>
          <w:rFonts w:ascii="仿宋_GB2312" w:hAnsi="仿宋_GB2312" w:cs="仿宋_GB2312" w:hint="eastAsia" w:eastAsia="仿宋_GB2312"/>
          <w:color w:val="000000"/>
          <w:sz w:val="32"/>
          <w:szCs w:val="32"/>
        </w:rPr>
        <w:t>；构成犯罪的，依法追究刑事责任。</w:t>
      </w:r>
    </w:p>
    <w:p>
      <w:pPr>
        <w:pStyle w:val="Normal"/>
        <w:snapToGrid w:val="false"/>
        <w:spacing w:lineRule="atLeast" w:line="600"/>
        <w:ind w:firstLineChars="196" w:startChars="0" w:start="0" w:endChars="0" w:end="0"/>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 xml:space="preserve">第五十条  </w:t>
      </w:r>
      <w:r>
        <w:rPr>
          <w:rFonts w:ascii="仿宋_GB2312" w:hAnsi="仿宋_GB2312" w:cs="仿宋_GB2312" w:hint="eastAsia" w:eastAsia="仿宋_GB2312"/>
          <w:color w:val="000000"/>
          <w:sz w:val="32"/>
          <w:szCs w:val="32"/>
        </w:rPr>
        <w:t xml:space="preserve">歧视、侮辱、虐待或者遗弃老年人以及其他侵犯老年人合法权益的，由有关单位给予批评教育；违反治安管理处罚的，依法给予治安管理处罚；构成犯罪的，依法追究刑事责任。 </w:t>
      </w:r>
    </w:p>
    <w:p>
      <w:pPr>
        <w:pStyle w:val="Normal"/>
        <w:snapToGrid w:val="false"/>
        <w:jc w:val="center"/>
        <w:rPr>
          <w:rFonts w:ascii="黑体;SimHei" w:hAnsi="黑体;SimHei" w:eastAsia="黑体;SimHei" w:cs="黑体;SimHei" w:hint="eastAsia"/>
          <w:color w:val="000000"/>
          <w:sz w:val="28"/>
          <w:szCs w:val="28"/>
        </w:rPr>
      </w:pPr>
      <w:r>
        <w:rPr>
          <w:rFonts w:eastAsia="黑体;SimHei" w:cs="黑体;SimHei" w:hint="eastAsia" w:ascii="黑体;SimHei" w:hAnsi="黑体;SimHei"/>
          <w:color w:val="000000"/>
          <w:sz w:val="28"/>
          <w:szCs w:val="28"/>
        </w:rPr>
      </w:r>
    </w:p>
    <w:p>
      <w:pPr>
        <w:pStyle w:val="Normal"/>
        <w:numPr>
          <w:ilvl w:val="0"/>
          <w:numId w:val="1"/>
        </w:numPr>
        <w:snapToGrid w:val="false"/>
        <w:jc w:val="center"/>
        <w:rPr>
          <w:rFonts w:ascii="黑体;SimHei" w:hAnsi="黑体;SimHei" w:eastAsia="黑体;SimHei" w:cs="黑体;SimHei" w:hint="eastAsia"/>
          <w:color w:val="000000"/>
          <w:sz w:val="32"/>
          <w:szCs w:val="32"/>
        </w:rPr>
      </w:pPr>
      <w:r>
        <w:rPr>
          <w:rFonts w:eastAsia="仿宋_GB2312" w:cs="宋体;SimSun" w:hint="eastAsia" w:ascii="宋体;SimSun" w:hAnsi="宋体;SimSun"/>
          <w:color w:val="000000"/>
          <w:sz w:val="32"/>
          <w:szCs w:val="32"/>
        </w:rPr>
        <w:t> </w:t>
      </w:r>
      <w:r>
        <w:rPr>
          <w:rFonts w:ascii="黑体;SimHei" w:hAnsi="黑体;SimHei" w:cs="黑体;SimHei" w:hint="eastAsia" w:eastAsia="黑体;SimHei"/>
          <w:color w:val="000000"/>
          <w:sz w:val="32"/>
          <w:szCs w:val="32"/>
        </w:rPr>
        <w:t>附    则</w:t>
      </w:r>
    </w:p>
    <w:p>
      <w:pPr>
        <w:pStyle w:val="Normal"/>
        <w:snapToGrid w:val="false"/>
        <w:rPr>
          <w:rFonts w:ascii="黑体;SimHei" w:hAnsi="黑体;SimHei" w:eastAsia="黑体;SimHei" w:cs="黑体;SimHei" w:hint="eastAsia"/>
          <w:color w:val="000000"/>
          <w:sz w:val="28"/>
          <w:szCs w:val="28"/>
        </w:rPr>
      </w:pPr>
      <w:r>
        <w:rPr>
          <w:rFonts w:eastAsia="黑体;SimHei" w:cs="黑体;SimHei" w:hint="eastAsia" w:ascii="黑体;SimHei" w:hAnsi="黑体;SimHei"/>
          <w:color w:val="000000"/>
          <w:sz w:val="28"/>
          <w:szCs w:val="28"/>
        </w:rPr>
      </w:r>
    </w:p>
    <w:p>
      <w:pPr>
        <w:pStyle w:val="Normal"/>
        <w:snapToGrid w:val="false"/>
        <w:spacing w:lineRule="atLeast" w:line="600"/>
        <w:ind w:firstLine="645" w:end="0"/>
        <w:jc w:val="start"/>
        <w:rPr/>
      </w:pPr>
      <w:r>
        <w:rPr>
          <w:rFonts w:ascii="黑体;SimHei" w:hAnsi="黑体;SimHei" w:cs="黑体;SimHei" w:hint="eastAsia" w:eastAsia="黑体;SimHei"/>
          <w:color w:val="000000"/>
          <w:sz w:val="32"/>
          <w:szCs w:val="32"/>
        </w:rPr>
        <w:t xml:space="preserve">第五十一条  </w:t>
      </w:r>
      <w:r>
        <w:rPr>
          <w:rFonts w:ascii="仿宋_GB2312" w:hAnsi="仿宋_GB2312" w:cs="宋体;SimSun" w:hint="eastAsia" w:eastAsia="仿宋_GB2312"/>
          <w:color w:val="000000"/>
          <w:kern w:val="0"/>
          <w:sz w:val="32"/>
          <w:szCs w:val="32"/>
        </w:rPr>
        <w:t>本条例下列用语的含义是指：</w:t>
      </w:r>
    </w:p>
    <w:p>
      <w:pPr>
        <w:pStyle w:val="Normal"/>
        <w:snapToGrid w:val="false"/>
        <w:spacing w:lineRule="atLeast" w:line="600"/>
        <w:ind w:firstLine="645" w:end="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一）养老服务组织，是指包括养老机构、社区养老护理服务机构、老年人日间照料中心、农村老年关爱之家、老年护理院、康复疗养机构，以及其他为老年人提供助餐、助浴、助行、助洁、助购、助医、助急等养老服务的组织。</w:t>
      </w:r>
    </w:p>
    <w:p>
      <w:pPr>
        <w:pStyle w:val="Normal"/>
        <w:snapToGrid w:val="false"/>
        <w:spacing w:lineRule="atLeast" w:line="600"/>
        <w:jc w:val="start"/>
        <w:rPr/>
      </w:pPr>
      <w:r>
        <w:rPr>
          <w:rFonts w:eastAsia="黑体;SimHei" w:cs="黑体;SimHei" w:hint="eastAsia" w:ascii="黑体;SimHei" w:hAnsi="黑体;SimHei"/>
          <w:color w:val="000000"/>
          <w:kern w:val="0"/>
          <w:sz w:val="32"/>
          <w:szCs w:val="32"/>
        </w:rPr>
        <w:t xml:space="preserve">    </w:t>
      </w:r>
      <w:r>
        <w:rPr>
          <w:rFonts w:ascii="仿宋_GB2312" w:hAnsi="仿宋_GB2312" w:cs="宋体;SimSun" w:hint="eastAsia" w:eastAsia="仿宋_GB2312"/>
          <w:color w:val="000000"/>
          <w:kern w:val="0"/>
          <w:sz w:val="32"/>
          <w:szCs w:val="32"/>
        </w:rPr>
        <w:t>（二） 养老机构，是指经民政部门许可依法设立的为老年人提供集中饮食起居和照料护理等养老服务的机构。</w:t>
      </w:r>
    </w:p>
    <w:p>
      <w:pPr>
        <w:pStyle w:val="Normal"/>
        <w:numPr>
          <w:ilvl w:val="0"/>
          <w:numId w:val="2"/>
        </w:numPr>
        <w:snapToGrid w:val="false"/>
        <w:spacing w:lineRule="atLeast" w:line="600"/>
        <w:ind w:hanging="0" w:start="645"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养老服务设施，是指专门为老年人提供生活照料、</w:t>
      </w:r>
    </w:p>
    <w:p>
      <w:pPr>
        <w:pStyle w:val="Normal"/>
        <w:snapToGrid w:val="false"/>
        <w:spacing w:lineRule="atLeast" w:line="60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康复护理、文体娱乐、托养等服务的房屋和场地设施。</w:t>
      </w:r>
    </w:p>
    <w:p>
      <w:pPr>
        <w:pStyle w:val="Normal"/>
        <w:snapToGrid w:val="false"/>
        <w:spacing w:lineRule="atLeast" w:line="60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（四）特困供养老年人，是指经民政部门认定的无劳动能力、无生活来源、无赡养和扶养人，或者其赡养人和扶养人确无赡养能力或者扶养能力的，给予提供生活照料、疾病治疗等供养</w:t>
      </w:r>
      <w:r>
        <w:rPr>
          <w:rFonts w:ascii="仿宋_GB2312" w:hAnsi="仿宋_GB2312" w:cs="宋体;SimSun" w:hint="eastAsia" w:eastAsia="仿宋_GB2312"/>
          <w:color w:val="000000"/>
          <w:kern w:val="0"/>
          <w:sz w:val="32"/>
          <w:szCs w:val="32"/>
        </w:rPr>
        <w:t>的老年人。</w:t>
      </w:r>
    </w:p>
    <w:p>
      <w:pPr>
        <w:pStyle w:val="Normal"/>
        <w:snapToGrid w:val="false"/>
        <w:spacing w:lineRule="atLeast" w:line="600"/>
        <w:ind w:firstLineChars="200" w:startChars="0" w:start="0" w:endChars="0" w:end="0"/>
        <w:rPr/>
      </w:pPr>
      <w:r>
        <w:rPr>
          <w:rFonts w:ascii="黑体;SimHei" w:hAnsi="黑体;SimHei" w:cs="黑体;SimHei" w:hint="eastAsia" w:eastAsia="黑体;SimHei"/>
          <w:color w:val="000000"/>
          <w:kern w:val="0"/>
          <w:sz w:val="32"/>
          <w:szCs w:val="32"/>
        </w:rPr>
        <w:t xml:space="preserve">第五十二条  </w:t>
      </w:r>
      <w:r>
        <w:rPr>
          <w:rFonts w:ascii="仿宋_GB2312" w:hAnsi="仿宋_GB2312" w:cs="宋体;SimSun" w:hint="eastAsia" w:eastAsia="仿宋_GB2312"/>
          <w:color w:val="000000"/>
          <w:kern w:val="0"/>
          <w:sz w:val="32"/>
          <w:szCs w:val="32"/>
        </w:rPr>
        <w:t xml:space="preserve">本条例自 </w:t>
      </w:r>
      <w:r>
        <w:rPr>
          <w:rFonts w:eastAsia="仿宋_GB2312" w:cs="宋体;SimSun" w:hint="eastAsia" w:ascii="仿宋_GB2312" w:hAnsi="仿宋_GB2312"/>
          <w:color w:val="000000"/>
          <w:kern w:val="0"/>
          <w:sz w:val="32"/>
          <w:szCs w:val="32"/>
        </w:rPr>
        <w:t xml:space="preserve">2017 </w:t>
      </w:r>
      <w:r>
        <w:rPr>
          <w:rFonts w:ascii="仿宋_GB2312" w:hAnsi="仿宋_GB2312" w:cs="宋体;SimSun" w:hint="eastAsia" w:eastAsia="仿宋_GB2312"/>
          <w:color w:val="000000"/>
          <w:kern w:val="0"/>
          <w:sz w:val="32"/>
          <w:szCs w:val="32"/>
        </w:rPr>
        <w:t>年</w:t>
      </w:r>
      <w:r>
        <w:rPr>
          <w:rFonts w:eastAsia="仿宋_GB2312" w:cs="宋体;SimSun" w:hint="eastAsia" w:ascii="仿宋_GB2312" w:hAnsi="仿宋_GB2312"/>
          <w:color w:val="000000"/>
          <w:kern w:val="0"/>
          <w:sz w:val="32"/>
          <w:szCs w:val="32"/>
        </w:rPr>
        <w:t>1</w:t>
      </w:r>
      <w:r>
        <w:rPr>
          <w:rFonts w:ascii="仿宋_GB2312" w:hAnsi="仿宋_GB2312" w:cs="宋体;SimSun" w:hint="eastAsia" w:eastAsia="仿宋_GB2312"/>
          <w:color w:val="000000"/>
          <w:kern w:val="0"/>
          <w:sz w:val="32"/>
          <w:szCs w:val="32"/>
        </w:rPr>
        <w:t>月</w:t>
      </w:r>
      <w:r>
        <w:rPr>
          <w:rFonts w:eastAsia="仿宋_GB2312" w:cs="宋体;SimSun" w:hint="eastAsia" w:ascii="仿宋_GB2312" w:hAnsi="仿宋_GB2312"/>
          <w:color w:val="000000"/>
          <w:kern w:val="0"/>
          <w:sz w:val="32"/>
          <w:szCs w:val="32"/>
        </w:rPr>
        <w:t>1</w:t>
      </w:r>
      <w:r>
        <w:rPr>
          <w:rFonts w:ascii="仿宋_GB2312" w:hAnsi="仿宋_GB2312" w:cs="宋体;SimSun" w:hint="eastAsia" w:eastAsia="仿宋_GB2312"/>
          <w:color w:val="000000"/>
          <w:kern w:val="0"/>
          <w:sz w:val="32"/>
          <w:szCs w:val="32"/>
        </w:rPr>
        <w:t>日起施行。</w:t>
      </w:r>
    </w:p>
    <w:p>
      <w:pPr>
        <w:pStyle w:val="Normal"/>
        <w:snapToGrid w:val="false"/>
        <w:spacing w:lineRule="auto" w:line="3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uto" w:line="3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uto" w:line="3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jc w:val="center"/>
        <w:rPr>
          <w:rFonts w:ascii="方正小标宋_GBK;微软雅黑" w:hAnsi="方正小标宋_GBK;微软雅黑" w:eastAsia="方正小标宋_GBK;微软雅黑" w:cs="仿宋_GB2312" w:hint="eastAsia"/>
          <w:sz w:val="44"/>
          <w:szCs w:val="44"/>
        </w:rPr>
      </w:pPr>
      <w:r>
        <w:rPr>
          <w:rFonts w:eastAsia="方正小标宋_GBK;微软雅黑" w:cs="仿宋_GB2312" w:hint="eastAsia" w:ascii="方正小标宋_GBK;微软雅黑" w:hAnsi="方正小标宋_GBK;微软雅黑"/>
          <w:sz w:val="44"/>
          <w:szCs w:val="44"/>
        </w:rPr>
      </w:r>
    </w:p>
    <w:p>
      <w:pPr>
        <w:pStyle w:val="Normal"/>
        <w:ind w:firstLineChars="200" w:startChars="0" w:start="0" w:endChars="0" w:end="0"/>
        <w:jc w:val="center"/>
        <w:rPr>
          <w:rFonts w:ascii="方正小标宋_GBK;微软雅黑" w:hAnsi="方正小标宋_GBK;微软雅黑" w:eastAsia="方正小标宋_GBK;微软雅黑" w:hint="eastAsia"/>
          <w:sz w:val="44"/>
          <w:szCs w:val="44"/>
        </w:rPr>
      </w:pPr>
      <w:r>
        <w:rPr>
          <w:rFonts w:eastAsia="方正小标宋_GBK;微软雅黑" w:hint="eastAsia" w:ascii="方正小标宋_GBK;微软雅黑" w:hAnsi="方正小标宋_GBK;微软雅黑"/>
          <w:sz w:val="44"/>
          <w:szCs w:val="44"/>
        </w:rPr>
      </w:r>
    </w:p>
    <w:p>
      <w:pPr>
        <w:pStyle w:val="Normal"/>
        <w:ind w:firstLineChars="200" w:startChars="0" w:start="0" w:endChars="0" w:end="0"/>
        <w:jc w:val="center"/>
        <w:rPr>
          <w:rFonts w:ascii="方正小标宋_GBK;微软雅黑" w:hAnsi="方正小标宋_GBK;微软雅黑" w:eastAsia="方正小标宋_GBK;微软雅黑" w:hint="eastAsia"/>
          <w:sz w:val="44"/>
          <w:szCs w:val="44"/>
        </w:rPr>
      </w:pPr>
      <w:r>
        <w:rPr>
          <w:rFonts w:eastAsia="方正小标宋_GBK;微软雅黑" w:hint="eastAsia" w:ascii="方正小标宋_GBK;微软雅黑" w:hAnsi="方正小标宋_GBK;微软雅黑"/>
          <w:sz w:val="44"/>
          <w:szCs w:val="44"/>
        </w:rPr>
      </w:r>
    </w:p>
    <w:p>
      <w:pPr>
        <w:pStyle w:val="Normal"/>
        <w:snapToGrid w:val="false"/>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snapToGrid w:val="false"/>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sectPr>
      <w:footerReference w:type="even" r:id="rId2"/>
      <w:footerReference w:type="default" r:id="rId3"/>
      <w:type w:val="nextPage"/>
      <w:pgSz w:w="11906" w:h="16838"/>
      <w:pgMar w:left="1588" w:right="1588" w:gutter="0" w:header="0" w:top="2098" w:footer="1134" w:bottom="1417"/>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
    <w:charset w:val="86"/>
    <w:family w:val="modern"/>
    <w:pitch w:val="default"/>
  </w:font>
  <w:font w:name="仿宋">
    <w:charset w:val="86"/>
    <w:family w:val="modern"/>
    <w:pitch w:val="default"/>
  </w:font>
  <w:font w:name="黑体">
    <w:altName w:val="SimHei"/>
    <w:charset w:val="86"/>
    <w:family w:val="modern"/>
    <w:pitch w:val="default"/>
  </w:font>
  <w:font w:name="仿宋_GB2312">
    <w:charset w:val="86"/>
    <w:family w:val="modern"/>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4"/>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Chars="9" w:startChars="0" w:start="0" w:endChars="0" w:end="0"/>
      <w:rPr>
        <w:rFonts w:hint="eastAsia"/>
      </w:rPr>
    </w:pPr>
    <w:r>
      <w:rPr>
        <w:rFonts w:hint="eastAsia"/>
      </w:rPr>
      <w:t xml:space="preserve">  </w:t>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42620" cy="132715"/>
              <wp:effectExtent l="0" t="0" r="0" b="0"/>
              <wp:wrapNone/>
              <wp:docPr id="2" name="Frame3"/>
              <a:graphic xmlns:a="http://schemas.openxmlformats.org/drawingml/2006/main">
                <a:graphicData uri="http://schemas.microsoft.com/office/word/2010/wordprocessingShape">
                  <wps:wsp>
                    <wps:cNvSpPr txBox="1"/>
                    <wps:spPr>
                      <a:xfrm>
                        <a:off x="0" y="0"/>
                        <a:ext cx="642620" cy="132715"/>
                      </a:xfrm>
                      <a:prstGeom prst="rect"/>
                      <a:solidFill>
                        <a:srgbClr val="FFFFFF">
                          <a:alpha val="0"/>
                        </a:srgbClr>
                      </a:solidFill>
                    </wps:spPr>
                    <wps:txbx>
                      <w:txbxContent>
                        <w:p>
                          <w:pPr>
                            <w:pStyle w:val="Normal"/>
                            <w:snapToGrid w:val="false"/>
                            <w:rPr>
                              <w:rFonts w:hint="eastAsia"/>
                              <w:sz w:val="18"/>
                            </w:rPr>
                          </w:pPr>
                          <w:r>
                            <w:rPr>
                              <w:rFonts w:hint="eastAsia"/>
                              <w:sz w:val="18"/>
                            </w:rPr>
                          </w:r>
                        </w:p>
                      </w:txbxContent>
                    </wps:txbx>
                    <wps:bodyPr anchor="t" lIns="635" tIns="635" rIns="635" bIns="635">
                      <a:spAutoFit/>
                    </wps:bodyPr>
                  </wps:wsp>
                </a:graphicData>
              </a:graphic>
            </wp:anchor>
          </w:drawing>
        </mc:Choice>
        <mc:Fallback>
          <w:pict>
            <v:rect fillcolor="#FFFFFF" style="position:absolute;rotation:-0;width:50.6pt;height:10.45pt;mso-wrap-distance-left:9.05pt;mso-wrap-distance-right:0pt;mso-wrap-distance-top:0pt;mso-wrap-distance-bottom:0pt;margin-top:0pt;mso-position-vertical-relative:text;margin-left:385.9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r>
                  </w:p>
                </w:txbxContent>
              </v:textbox>
              <w10:wrap type="none"/>
            </v:rect>
          </w:pict>
        </mc:Fallback>
      </mc:AlternateContent>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643255" cy="230505"/>
              <wp:effectExtent l="0" t="0" r="0" b="0"/>
              <wp:wrapNone/>
              <wp:docPr id="3" name="Frame2"/>
              <a:graphic xmlns:a="http://schemas.openxmlformats.org/drawingml/2006/main">
                <a:graphicData uri="http://schemas.microsoft.com/office/word/2010/wordprocessingShape">
                  <wps:wsp>
                    <wps:cNvSpPr txBox="1"/>
                    <wps:spPr>
                      <a:xfrm>
                        <a:off x="0" y="0"/>
                        <a:ext cx="643255" cy="230505"/>
                      </a:xfrm>
                      <a:prstGeom prst="rect"/>
                      <a:solidFill>
                        <a:srgbClr val="FFFFFF">
                          <a:alpha val="0"/>
                        </a:srgbClr>
                      </a:solidFill>
                    </wps:spPr>
                    <wps:txbx>
                      <w:txbxContent>
                        <w:p>
                          <w:pPr>
                            <w:pStyle w:val="Normal"/>
                            <w:snapToGrid w:val="false"/>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50.65pt;height:18.15pt;mso-wrap-distance-left:9.05pt;mso-wrap-distance-right:0pt;mso-wrap-distance-top:0pt;mso-wrap-distance-bottom:0pt;margin-top:0pt;mso-position-vertical-relative:text;margin-left:326.15pt;mso-position-horizontal:outside;mso-position-horizontal-relative:margin">
              <v:fill opacity="0f"/>
              <v:textbox inset="0.000694444444444445in,0.000694444444444445in,0.000694444444444445in,0.000694444444444445in">
                <w:txbxContent>
                  <w:p>
                    <w:pPr>
                      <w:pStyle w:val="Normal"/>
                      <w:snapToGrid w:val="false"/>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taiwaneseCountingThousand"/>
      <w:suff w:val="space"/>
      <w:lvlText w:val="第%1章"/>
      <w:lvlJc w:val="start"/>
      <w:pPr>
        <w:tabs>
          <w:tab w:val="num" w:pos="0"/>
        </w:tabs>
        <w:ind w:start="0" w:hanging="0"/>
      </w:pPr>
    </w:lvl>
  </w:abstractNum>
  <w:abstractNum w:abstractNumId="2">
    <w:lvl w:ilvl="0">
      <w:start w:val="3"/>
      <w:numFmt w:val="taiwaneseCountingThousand"/>
      <w:suff w:val="space"/>
      <w:lvlText w:val="（%1）"/>
      <w:lvlJc w:val="start"/>
      <w:pPr>
        <w:tabs>
          <w:tab w:val="num" w:pos="0"/>
        </w:tabs>
        <w:ind w:start="0" w:hanging="0"/>
      </w:pPr>
    </w:lvl>
  </w:abstractNum>
  <w:abstractNum w:abstractNumId="3">
    <w:lvl w:ilvl="0">
      <w:start w:val="2"/>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批注框文本 Char"/>
    <w:qFormat/>
    <w:rPr>
      <w:rFonts w:ascii="Times New Roman" w:hAnsi="Times New Roman" w:eastAsia="宋体;SimSu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SimSun" w:cs="Times New Roman"/>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Style16">
    <w:name w:val="批注框文本"/>
    <w:basedOn w:val="Normal"/>
    <w:qFormat/>
    <w:pPr/>
    <w:rPr>
      <w:rFonts w:ascii="Times New Roman" w:hAnsi="Times New Roman" w:eastAsia="宋体;SimSun"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仿宋_GB231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仿宋_GB2312"/>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2017-02-14T16:31:00Z</dcterms:created>
  <dc:creator>QH</dc:creator>
  <dc:description/>
  <dc:language>en-US</dc:language>
  <cp:lastModifiedBy>王赟</cp:lastModifiedBy>
  <cp:lastPrinted>2016-12-09T11:02:00Z</cp:lastPrinted>
  <dcterms:modified xsi:type="dcterms:W3CDTF">2017-02-14T16:43:00Z</dcterms:modified>
  <cp:revision>3</cp:revision>
  <dc:subject/>
  <dc:title>QH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