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bidi w:val="0"/>
        <w:snapToGrid w:val="false"/>
        <w:spacing w:lineRule="auto" w:line="240"/>
        <w:ind w:firstLineChars="0" w:firstLine="0" w:startChars="0" w:start="0" w:endChars="0" w:end="0"/>
        <w:jc w:val="both"/>
        <w:textAlignment w:val="auto"/>
        <w:rPr>
          <w:rFonts w:ascii="方正小标宋简体" w:hAnsi="方正小标宋简体" w:eastAsia="方正小标宋简体" w:cs="宋体" w:hint="eastAsia"/>
          <w:bCs/>
          <w:kern w:val="0"/>
          <w:sz w:val="44"/>
          <w:szCs w:val="44"/>
        </w:rPr>
      </w:pPr>
      <w:r>
        <w:rPr>
          <w:rFonts w:eastAsia="方正小标宋简体" w:cs="宋体" w:hint="eastAsia" w:ascii="方正小标宋简体" w:hAnsi="方正小标宋简体"/>
          <w:bCs/>
          <w:kern w:val="0"/>
          <w:sz w:val="44"/>
          <w:szCs w:val="44"/>
        </w:rPr>
      </w:r>
    </w:p>
    <w:p>
      <w:pPr>
        <w:pStyle w:val="Normal"/>
        <w:keepNext w:val="false"/>
        <w:keepLines w:val="false"/>
        <w:pageBreakBefore w:val="false"/>
        <w:widowControl w:val="false"/>
        <w:kinsoku w:val="true"/>
        <w:overflowPunct w:val="true"/>
        <w:autoSpaceDE w:val="false"/>
        <w:bidi w:val="0"/>
        <w:snapToGrid w:val="false"/>
        <w:spacing w:lineRule="auto" w:line="240"/>
        <w:ind w:firstLineChars="0" w:firstLine="0" w:startChars="0" w:start="0" w:endChars="0" w:end="0"/>
        <w:jc w:val="center"/>
        <w:textAlignment w:val="auto"/>
        <w:rPr>
          <w:rFonts w:ascii="方正小标宋简体" w:hAnsi="方正小标宋简体" w:eastAsia="方正小标宋简体" w:cs="宋体" w:hint="eastAsia"/>
          <w:bCs/>
          <w:kern w:val="0"/>
          <w:sz w:val="44"/>
          <w:szCs w:val="44"/>
        </w:rPr>
      </w:pPr>
      <w:r>
        <w:rPr>
          <w:rFonts w:eastAsia="方正小标宋简体" w:cs="宋体" w:hint="eastAsia" w:ascii="方正小标宋简体" w:hAnsi="方正小标宋简体"/>
          <w:bCs/>
          <w:kern w:val="0"/>
          <w:sz w:val="44"/>
          <w:szCs w:val="44"/>
        </w:rPr>
      </w:r>
    </w:p>
    <w:p>
      <w:pPr>
        <w:pStyle w:val="Normal"/>
        <w:keepNext w:val="false"/>
        <w:keepLines w:val="false"/>
        <w:pageBreakBefore w:val="false"/>
        <w:widowControl w:val="false"/>
        <w:kinsoku w:val="true"/>
        <w:overflowPunct w:val="true"/>
        <w:autoSpaceDE w:val="false"/>
        <w:bidi w:val="0"/>
        <w:snapToGrid w:val="false"/>
        <w:spacing w:lineRule="auto" w:line="240"/>
        <w:ind w:firstLineChars="0" w:firstLine="0" w:startChars="0" w:start="0" w:endChars="0" w:end="0"/>
        <w:jc w:val="center"/>
        <w:textAlignment w:val="auto"/>
        <w:rPr>
          <w:rFonts w:ascii="楷体" w:hAnsi="楷体" w:eastAsia="楷体" w:cs="楷体" w:hint="eastAsia"/>
          <w:b w:val="false"/>
          <w:bCs/>
          <w:color w:val="000000"/>
          <w:kern w:val="0"/>
          <w:sz w:val="30"/>
          <w:szCs w:val="30"/>
          <w:lang w:val="zh-CN"/>
        </w:rPr>
      </w:pPr>
      <w:r>
        <w:rPr>
          <w:rFonts w:ascii="方正小标宋简体" w:hAnsi="方正小标宋简体" w:cs="宋体" w:hint="eastAsia" w:eastAsia="方正小标宋简体"/>
          <w:bCs/>
          <w:kern w:val="0"/>
          <w:sz w:val="44"/>
          <w:szCs w:val="44"/>
        </w:rPr>
        <w:t>宁夏回族自治区绿色建筑发展条例</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center"/>
        <w:textAlignment w:val="auto"/>
        <w:rPr>
          <w:rFonts w:ascii="楷体" w:hAnsi="楷体" w:eastAsia="楷体" w:cs="楷体" w:hint="eastAsia"/>
          <w:b w:val="false"/>
          <w:bCs/>
          <w:color w:val="000000"/>
          <w:kern w:val="0"/>
          <w:sz w:val="30"/>
          <w:szCs w:val="30"/>
          <w:lang w:val="zh-CN"/>
        </w:rPr>
      </w:pPr>
      <w:r>
        <w:rPr>
          <w:rFonts w:eastAsia="楷体" w:cs="楷体" w:hint="eastAsia" w:ascii="楷体" w:hAnsi="楷体"/>
          <w:b w:val="false"/>
          <w:bCs/>
          <w:color w:val="000000"/>
          <w:kern w:val="0"/>
          <w:sz w:val="30"/>
          <w:szCs w:val="30"/>
          <w:lang w:val="zh-CN"/>
        </w:rPr>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center"/>
        <w:textAlignment w:val="auto"/>
        <w:rPr>
          <w:rFonts w:ascii="楷体" w:hAnsi="楷体" w:eastAsia="楷体" w:cs="楷体" w:hint="eastAsia"/>
          <w:color w:val="000000"/>
          <w:sz w:val="30"/>
          <w:szCs w:val="30"/>
        </w:rPr>
      </w:pPr>
      <w:r>
        <w:rPr>
          <w:rFonts w:ascii="楷体" w:hAnsi="楷体" w:cs="楷体" w:hint="eastAsia" w:eastAsia="楷体"/>
          <w:color w:val="000000"/>
          <w:sz w:val="30"/>
          <w:szCs w:val="30"/>
        </w:rPr>
        <w:t>（</w:t>
      </w:r>
      <w:r>
        <w:rPr>
          <w:rFonts w:eastAsia="楷体" w:cs="楷体" w:hint="eastAsia" w:ascii="楷体" w:hAnsi="楷体"/>
          <w:color w:val="000000"/>
          <w:sz w:val="30"/>
          <w:szCs w:val="30"/>
        </w:rPr>
        <w:t>2018</w:t>
      </w:r>
      <w:r>
        <w:rPr>
          <w:rFonts w:ascii="楷体" w:hAnsi="楷体" w:cs="楷体" w:hint="eastAsia" w:eastAsia="楷体"/>
          <w:color w:val="000000"/>
          <w:sz w:val="30"/>
          <w:szCs w:val="30"/>
        </w:rPr>
        <w:t>年</w:t>
      </w:r>
      <w:r>
        <w:rPr>
          <w:rFonts w:eastAsia="楷体" w:cs="楷体" w:hint="eastAsia" w:ascii="楷体" w:hAnsi="楷体"/>
          <w:color w:val="000000"/>
          <w:sz w:val="30"/>
          <w:szCs w:val="30"/>
        </w:rPr>
        <w:t>7</w:t>
      </w:r>
      <w:r>
        <w:rPr>
          <w:rFonts w:ascii="楷体" w:hAnsi="楷体" w:cs="楷体" w:hint="eastAsia" w:eastAsia="楷体"/>
          <w:color w:val="000000"/>
          <w:sz w:val="30"/>
          <w:szCs w:val="30"/>
        </w:rPr>
        <w:t>月</w:t>
      </w:r>
      <w:r>
        <w:rPr>
          <w:rFonts w:eastAsia="楷体" w:cs="楷体" w:hint="eastAsia" w:ascii="楷体" w:hAnsi="楷体"/>
          <w:color w:val="000000"/>
          <w:sz w:val="30"/>
          <w:szCs w:val="30"/>
        </w:rPr>
        <w:t>27</w:t>
      </w:r>
      <w:r>
        <w:rPr>
          <w:rFonts w:ascii="楷体" w:hAnsi="楷体" w:cs="楷体" w:hint="eastAsia" w:eastAsia="楷体"/>
          <w:color w:val="000000"/>
          <w:sz w:val="30"/>
          <w:szCs w:val="30"/>
        </w:rPr>
        <w:t>日宁夏回族自治区第十二届</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center"/>
        <w:textAlignment w:val="auto"/>
        <w:rPr>
          <w:rFonts w:ascii="楷体" w:hAnsi="楷体" w:eastAsia="楷体" w:cs="楷体" w:hint="eastAsia"/>
          <w:color w:val="000000"/>
          <w:sz w:val="30"/>
          <w:szCs w:val="30"/>
        </w:rPr>
      </w:pPr>
      <w:r>
        <w:rPr>
          <w:rFonts w:eastAsia="楷体" w:cs="楷体" w:hint="eastAsia" w:ascii="楷体" w:hAnsi="楷体"/>
          <w:color w:val="000000"/>
          <w:sz w:val="30"/>
          <w:szCs w:val="30"/>
        </w:rPr>
        <w:t xml:space="preserve">  </w:t>
      </w:r>
      <w:r>
        <w:rPr>
          <w:rFonts w:ascii="楷体" w:hAnsi="楷体" w:cs="楷体" w:hint="eastAsia" w:eastAsia="楷体"/>
          <w:color w:val="000000"/>
          <w:sz w:val="30"/>
          <w:szCs w:val="30"/>
        </w:rPr>
        <w:t>人民代表大会常务委员会第四次会议通过）</w:t>
      </w:r>
    </w:p>
    <w:p>
      <w:pPr>
        <w:pStyle w:val="Normal"/>
        <w:keepNext w:val="false"/>
        <w:keepLines w:val="false"/>
        <w:pageBreakBefore w:val="false"/>
        <w:widowControl w:val="false"/>
        <w:kinsoku w:val="true"/>
        <w:overflowPunct w:val="true"/>
        <w:autoSpaceDE w:val="false"/>
        <w:bidi w:val="0"/>
        <w:snapToGrid w:val="false"/>
        <w:spacing w:lineRule="auto" w:line="240"/>
        <w:ind w:firstLineChars="0" w:firstLine="0" w:startChars="0" w:start="0" w:endChars="0" w:end="0"/>
        <w:jc w:val="center"/>
        <w:textAlignment w:val="auto"/>
        <w:rPr>
          <w:rFonts w:ascii="楷体" w:hAnsi="楷体" w:eastAsia="楷体" w:cs="楷体" w:hint="eastAsia"/>
          <w:b w:val="false"/>
          <w:bCs/>
          <w:color w:val="000000"/>
          <w:kern w:val="0"/>
          <w:sz w:val="30"/>
          <w:szCs w:val="30"/>
          <w:lang w:val="zh-CN"/>
        </w:rPr>
      </w:pPr>
      <w:r>
        <w:rPr>
          <w:rFonts w:eastAsia="楷体" w:cs="楷体" w:hint="eastAsia" w:ascii="楷体" w:hAnsi="楷体"/>
          <w:b w:val="false"/>
          <w:bCs/>
          <w:color w:val="000000"/>
          <w:kern w:val="0"/>
          <w:sz w:val="30"/>
          <w:szCs w:val="30"/>
          <w:lang w:val="zh-CN"/>
        </w:rPr>
      </w:r>
    </w:p>
    <w:p>
      <w:pPr>
        <w:pStyle w:val="Normal"/>
        <w:keepNext w:val="false"/>
        <w:keepLines w:val="false"/>
        <w:pageBreakBefore w:val="false"/>
        <w:widowControl w:val="false"/>
        <w:kinsoku w:val="true"/>
        <w:overflowPunct w:val="true"/>
        <w:autoSpaceDE w:val="false"/>
        <w:bidi w:val="0"/>
        <w:snapToGrid w:val="false"/>
        <w:spacing w:lineRule="auto" w:line="240"/>
        <w:ind w:firstLineChars="0" w:firstLine="0" w:startChars="0" w:start="0" w:endChars="0" w:end="0"/>
        <w:jc w:val="center"/>
        <w:textAlignment w:val="auto"/>
        <w:rPr>
          <w:rFonts w:ascii="楷体" w:hAnsi="楷体" w:eastAsia="楷体" w:cs="楷体" w:hint="eastAsia"/>
          <w:b w:val="false"/>
          <w:bCs/>
          <w:color w:val="000000"/>
          <w:kern w:val="0"/>
          <w:sz w:val="30"/>
          <w:szCs w:val="30"/>
          <w:lang w:val="zh-CN"/>
        </w:rPr>
      </w:pPr>
      <w:r>
        <w:rPr>
          <w:rFonts w:eastAsia="楷体" w:cs="楷体" w:hint="eastAsia" w:ascii="楷体" w:hAnsi="楷体"/>
          <w:b w:val="false"/>
          <w:bCs/>
          <w:color w:val="000000"/>
          <w:kern w:val="0"/>
          <w:sz w:val="30"/>
          <w:szCs w:val="30"/>
          <w:lang w:val="zh-CN"/>
        </w:rPr>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center"/>
        <w:textAlignment w:val="auto"/>
        <w:rPr>
          <w:rFonts w:ascii="黑体" w:hAnsi="黑体" w:eastAsia="黑体" w:cs="黑体" w:hint="eastAsia"/>
          <w:color w:val="000000"/>
          <w:sz w:val="32"/>
          <w:szCs w:val="32"/>
        </w:rPr>
      </w:pPr>
      <w:r>
        <w:rPr>
          <w:rFonts w:ascii="黑体" w:hAnsi="黑体" w:cs="黑体" w:hint="eastAsia" w:eastAsia="黑体"/>
          <w:color w:val="000000"/>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520"/>
        <w:ind w:firstLineChars="0" w:firstLine="0" w:startChars="0" w:start="0" w:endChars="0" w:end="0"/>
        <w:jc w:val="center"/>
        <w:textAlignment w:val="auto"/>
        <w:rPr>
          <w:rFonts w:ascii="楷体_GB2312;楷体" w:hAnsi="楷体_GB2312;楷体" w:eastAsia="楷体_GB2312;楷体" w:cs="黑体" w:hint="eastAsia"/>
          <w:color w:val="000000"/>
          <w:sz w:val="32"/>
          <w:szCs w:val="32"/>
        </w:rPr>
      </w:pPr>
      <w:r>
        <w:rPr>
          <w:rFonts w:eastAsia="楷体_GB2312;楷体" w:cs="黑体" w:hint="eastAsia" w:ascii="楷体_GB2312;楷体" w:hAnsi="楷体_GB2312;楷体"/>
          <w:color w:val="000000"/>
          <w:sz w:val="32"/>
          <w:szCs w:val="32"/>
        </w:rPr>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20"/>
        <w:ind w:firstLineChars="213" w:startChars="0" w:start="0" w:endChars="0" w:end="0"/>
        <w:jc w:val="both"/>
        <w:textAlignment w:val="auto"/>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t xml:space="preserve"> </w:t>
      </w:r>
      <w:r>
        <w:rPr>
          <w:rFonts w:ascii="楷体_GB2312;楷体" w:hAnsi="楷体_GB2312;楷体" w:hint="eastAsia" w:eastAsia="楷体_GB2312;楷体"/>
          <w:color w:val="000000"/>
          <w:sz w:val="32"/>
          <w:szCs w:val="32"/>
        </w:rPr>
        <w:t>总  则</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20"/>
        <w:ind w:firstLineChars="213" w:startChars="0" w:start="0" w:endChars="0" w:end="0"/>
        <w:jc w:val="both"/>
        <w:textAlignment w:val="auto"/>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t xml:space="preserve"> </w:t>
      </w:r>
      <w:r>
        <w:rPr>
          <w:rFonts w:ascii="楷体_GB2312;楷体" w:hAnsi="楷体_GB2312;楷体" w:hint="eastAsia" w:eastAsia="楷体_GB2312;楷体"/>
          <w:color w:val="000000"/>
          <w:sz w:val="32"/>
          <w:szCs w:val="32"/>
        </w:rPr>
        <w:t>规划与建设</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20"/>
        <w:ind w:firstLineChars="213" w:startChars="0" w:start="0" w:endChars="0" w:end="0"/>
        <w:jc w:val="both"/>
        <w:textAlignment w:val="auto"/>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t xml:space="preserve"> </w:t>
      </w:r>
      <w:r>
        <w:rPr>
          <w:rFonts w:ascii="楷体_GB2312;楷体" w:hAnsi="楷体_GB2312;楷体" w:hint="eastAsia" w:eastAsia="楷体_GB2312;楷体"/>
          <w:color w:val="000000"/>
          <w:sz w:val="32"/>
          <w:szCs w:val="32"/>
        </w:rPr>
        <w:t>运营与改造</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20"/>
        <w:ind w:firstLineChars="213" w:startChars="0" w:start="0" w:endChars="0" w:end="0"/>
        <w:jc w:val="both"/>
        <w:textAlignment w:val="auto"/>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t xml:space="preserve"> </w:t>
      </w:r>
      <w:r>
        <w:rPr>
          <w:rFonts w:ascii="楷体_GB2312;楷体" w:hAnsi="楷体_GB2312;楷体" w:hint="eastAsia" w:eastAsia="楷体_GB2312;楷体"/>
          <w:color w:val="000000"/>
          <w:sz w:val="32"/>
          <w:szCs w:val="32"/>
        </w:rPr>
        <w:t>技术与应用</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20"/>
        <w:ind w:firstLineChars="213" w:startChars="0" w:start="0" w:endChars="0" w:end="0"/>
        <w:jc w:val="both"/>
        <w:textAlignment w:val="auto"/>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t xml:space="preserve"> </w:t>
      </w:r>
      <w:r>
        <w:rPr>
          <w:rFonts w:ascii="楷体_GB2312;楷体" w:hAnsi="楷体_GB2312;楷体" w:hint="eastAsia" w:eastAsia="楷体_GB2312;楷体"/>
          <w:color w:val="000000"/>
          <w:sz w:val="32"/>
          <w:szCs w:val="32"/>
        </w:rPr>
        <w:t>引导与激励</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20"/>
        <w:ind w:firstLineChars="213" w:startChars="0" w:start="0" w:endChars="0" w:end="0"/>
        <w:jc w:val="both"/>
        <w:textAlignment w:val="auto"/>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t xml:space="preserve"> </w:t>
      </w:r>
      <w:r>
        <w:rPr>
          <w:rFonts w:ascii="楷体_GB2312;楷体" w:hAnsi="楷体_GB2312;楷体" w:hint="eastAsia" w:eastAsia="楷体_GB2312;楷体"/>
          <w:color w:val="000000"/>
          <w:sz w:val="32"/>
          <w:szCs w:val="32"/>
        </w:rPr>
        <w:t>法律责任</w:t>
      </w:r>
    </w:p>
    <w:p>
      <w:pPr>
        <w:pStyle w:val="Normal"/>
        <w:keepNext w:val="false"/>
        <w:keepLines w:val="false"/>
        <w:pageBreakBefore w:val="false"/>
        <w:widowControl w:val="false"/>
        <w:numPr>
          <w:ilvl w:val="0"/>
          <w:numId w:val="2"/>
        </w:numPr>
        <w:kinsoku w:val="true"/>
        <w:overflowPunct w:val="true"/>
        <w:autoSpaceDE w:val="true"/>
        <w:bidi w:val="0"/>
        <w:snapToGrid w:val="false"/>
        <w:spacing w:lineRule="exact" w:line="520"/>
        <w:ind w:firstLineChars="213" w:startChars="0" w:start="0" w:endChars="0" w:end="0"/>
        <w:jc w:val="both"/>
        <w:textAlignment w:val="auto"/>
        <w:rPr>
          <w:rFonts w:ascii="楷体_GB2312;楷体" w:hAnsi="楷体_GB2312;楷体" w:eastAsia="楷体_GB2312;楷体" w:hint="eastAsia"/>
          <w:color w:val="000000"/>
          <w:sz w:val="32"/>
          <w:szCs w:val="32"/>
        </w:rPr>
      </w:pPr>
      <w:r>
        <w:rPr>
          <w:rFonts w:eastAsia="楷体_GB2312;楷体" w:hint="eastAsia" w:ascii="楷体_GB2312;楷体" w:hAnsi="楷体_GB2312;楷体"/>
          <w:color w:val="000000"/>
          <w:sz w:val="32"/>
          <w:szCs w:val="32"/>
        </w:rPr>
        <w:t xml:space="preserve"> </w:t>
      </w:r>
      <w:r>
        <w:rPr>
          <w:rFonts w:ascii="楷体_GB2312;楷体" w:hAnsi="楷体_GB2312;楷体" w:hint="eastAsia" w:eastAsia="楷体_GB2312;楷体"/>
          <w:color w:val="000000"/>
          <w:sz w:val="32"/>
          <w:szCs w:val="32"/>
        </w:rPr>
        <w:t>附  则</w:t>
      </w:r>
    </w:p>
    <w:p>
      <w:pPr>
        <w:pStyle w:val="Normal"/>
        <w:keepNext w:val="false"/>
        <w:keepLines w:val="false"/>
        <w:pageBreakBefore w:val="false"/>
        <w:widowControl w:val="false"/>
        <w:kinsoku w:val="true"/>
        <w:overflowPunct w:val="true"/>
        <w:autoSpaceDE w:val="false"/>
        <w:bidi w:val="0"/>
        <w:snapToGrid w:val="false"/>
        <w:spacing w:lineRule="auto" w:line="240"/>
        <w:ind w:firstLineChars="0" w:firstLine="0" w:startChars="0" w:start="0" w:endChars="0" w:end="0"/>
        <w:jc w:val="center"/>
        <w:textAlignment w:val="auto"/>
        <w:rPr>
          <w:rFonts w:ascii="方正大标宋简体;微软雅黑" w:hAnsi="方正大标宋简体;微软雅黑" w:eastAsia="方正大标宋简体;微软雅黑" w:cs="仿宋_GB2312;仿宋" w:hint="eastAsia"/>
          <w:b/>
          <w:bCs/>
          <w:color w:val="000000"/>
          <w:kern w:val="0"/>
          <w:sz w:val="32"/>
          <w:szCs w:val="32"/>
          <w:lang w:val="zh-CN"/>
        </w:rPr>
      </w:pPr>
      <w:r>
        <w:rPr>
          <w:rFonts w:eastAsia="方正大标宋简体;微软雅黑" w:cs="仿宋_GB2312;仿宋" w:hint="eastAsia" w:ascii="方正大标宋简体;微软雅黑" w:hAnsi="方正大标宋简体;微软雅黑"/>
          <w:b/>
          <w:bCs/>
          <w:color w:val="000000"/>
          <w:kern w:val="0"/>
          <w:sz w:val="32"/>
          <w:szCs w:val="32"/>
          <w:lang w:val="zh-CN"/>
        </w:rPr>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b w:val="false"/>
          <w:bCs/>
          <w:kern w:val="0"/>
          <w:sz w:val="32"/>
          <w:szCs w:val="32"/>
        </w:rPr>
      </w:pPr>
      <w:r>
        <w:rPr>
          <w:rFonts w:ascii="黑体" w:hAnsi="黑体" w:cs="宋体" w:hint="eastAsia" w:eastAsia="黑体"/>
          <w:b w:val="false"/>
          <w:bCs/>
          <w:kern w:val="0"/>
          <w:sz w:val="32"/>
          <w:szCs w:val="32"/>
        </w:rPr>
        <w:t>　总  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both"/>
        <w:textAlignment w:val="auto"/>
        <w:rPr>
          <w:rFonts w:ascii="黑体" w:hAnsi="黑体" w:eastAsia="黑体" w:cs="宋体" w:hint="eastAsia"/>
          <w:b w:val="false"/>
          <w:bCs/>
          <w:kern w:val="0"/>
          <w:sz w:val="32"/>
          <w:szCs w:val="32"/>
        </w:rPr>
      </w:pPr>
      <w:r>
        <w:rPr>
          <w:rFonts w:eastAsia="黑体" w:cs="宋体" w:hint="eastAsia" w:ascii="黑体" w:hAnsi="黑体"/>
          <w:b w:val="false"/>
          <w:bCs/>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 w:hAnsi="仿宋" w:eastAsia="仿宋" w:cs="仿宋" w:hint="eastAsia"/>
          <w:kern w:val="0"/>
          <w:sz w:val="32"/>
          <w:szCs w:val="32"/>
        </w:rPr>
      </w:pPr>
      <w:r>
        <w:rPr>
          <w:rFonts w:ascii="黑体" w:hAnsi="黑体" w:cs="宋体" w:hint="eastAsia" w:eastAsia="黑体"/>
          <w:b w:val="false"/>
          <w:bCs/>
          <w:kern w:val="0"/>
          <w:sz w:val="32"/>
          <w:szCs w:val="32"/>
        </w:rPr>
        <w:t>第一条</w:t>
      </w:r>
      <w:r>
        <w:rPr>
          <w:rFonts w:ascii="宋体" w:hAnsi="宋体" w:cs="宋体" w:hint="eastAsia" w:eastAsia="黑体"/>
          <w:b/>
          <w:kern w:val="0"/>
          <w:sz w:val="32"/>
          <w:szCs w:val="32"/>
        </w:rPr>
        <w:t>　</w:t>
      </w:r>
      <w:r>
        <w:rPr>
          <w:rFonts w:ascii="宋体" w:hAnsi="宋体" w:cs="宋体" w:eastAsia="仿宋_GB2312;仿宋"/>
          <w:kern w:val="0"/>
          <w:sz w:val="32"/>
          <w:szCs w:val="32"/>
        </w:rPr>
        <w:t>为</w:t>
      </w:r>
      <w:r>
        <w:rPr>
          <w:rFonts w:ascii="宋体" w:hAnsi="宋体" w:cs="宋体" w:hint="eastAsia" w:eastAsia="仿宋_GB2312;仿宋"/>
          <w:kern w:val="0"/>
          <w:sz w:val="32"/>
          <w:szCs w:val="32"/>
        </w:rPr>
        <w:t>了</w:t>
      </w:r>
      <w:r>
        <w:rPr>
          <w:rFonts w:ascii="宋体" w:hAnsi="宋体" w:cs="宋体" w:eastAsia="仿宋_GB2312;仿宋"/>
          <w:kern w:val="0"/>
          <w:sz w:val="32"/>
          <w:szCs w:val="32"/>
        </w:rPr>
        <w:t>促进绿色建筑发展，</w:t>
      </w:r>
      <w:r>
        <w:rPr>
          <w:rFonts w:ascii="宋体" w:hAnsi="宋体" w:cs="宋体" w:hint="eastAsia" w:eastAsia="仿宋_GB2312;仿宋"/>
          <w:kern w:val="0"/>
          <w:sz w:val="32"/>
          <w:szCs w:val="32"/>
        </w:rPr>
        <w:t>节约资源，</w:t>
      </w:r>
      <w:r>
        <w:rPr>
          <w:rFonts w:ascii="宋体" w:hAnsi="宋体" w:cs="宋体" w:eastAsia="仿宋_GB2312;仿宋"/>
          <w:kern w:val="0"/>
          <w:sz w:val="32"/>
          <w:szCs w:val="32"/>
        </w:rPr>
        <w:t>提高人居环境质量，</w:t>
      </w:r>
      <w:r>
        <w:rPr>
          <w:rFonts w:ascii="宋体" w:hAnsi="宋体" w:cs="宋体" w:hint="eastAsia" w:eastAsia="仿宋_GB2312;仿宋"/>
          <w:kern w:val="0"/>
          <w:sz w:val="32"/>
          <w:szCs w:val="32"/>
        </w:rPr>
        <w:t>根据《中华人民共和国建筑法》《中华人民共和国节约能源法》</w:t>
      </w:r>
      <w:r>
        <w:rPr>
          <w:rFonts w:ascii="仿宋" w:hAnsi="仿宋" w:cs="仿宋" w:hint="eastAsia" w:eastAsia="仿宋"/>
          <w:kern w:val="0"/>
          <w:sz w:val="32"/>
          <w:szCs w:val="32"/>
        </w:rPr>
        <w:t>等有关法律、</w:t>
      </w:r>
      <w:r>
        <w:rPr>
          <w:rFonts w:ascii="仿宋" w:hAnsi="仿宋" w:cs="仿宋" w:hint="eastAsia" w:eastAsia="仿宋"/>
          <w:b w:val="false"/>
          <w:bCs w:val="false"/>
          <w:kern w:val="0"/>
          <w:sz w:val="32"/>
          <w:szCs w:val="32"/>
        </w:rPr>
        <w:t>行政</w:t>
      </w:r>
      <w:r>
        <w:rPr>
          <w:rFonts w:ascii="仿宋" w:hAnsi="仿宋" w:cs="仿宋" w:hint="eastAsia" w:eastAsia="仿宋"/>
          <w:kern w:val="0"/>
          <w:sz w:val="32"/>
          <w:szCs w:val="32"/>
        </w:rPr>
        <w:t>法规规定，结合自治区实际，制定本条例。</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 w:hAnsi="仿宋" w:eastAsia="仿宋" w:cs="仿宋" w:hint="eastAsia"/>
          <w:kern w:val="0"/>
          <w:sz w:val="32"/>
          <w:szCs w:val="32"/>
        </w:rPr>
      </w:pPr>
      <w:r>
        <w:rPr>
          <w:rFonts w:ascii="黑体" w:hAnsi="黑体" w:cs="宋体" w:hint="eastAsia" w:eastAsia="黑体"/>
          <w:b w:val="false"/>
          <w:bCs/>
          <w:kern w:val="0"/>
          <w:sz w:val="32"/>
          <w:szCs w:val="32"/>
        </w:rPr>
        <w:t>第二条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在自治区行政区域内从事与绿色建筑相关的规划、设计、建设、运营、改造、评价等活动及其监督管理，</w:t>
      </w:r>
      <w:r>
        <w:rPr>
          <w:rFonts w:ascii="仿宋" w:hAnsi="仿宋" w:cs="仿宋" w:hint="eastAsia" w:eastAsia="仿宋"/>
          <w:kern w:val="0"/>
          <w:sz w:val="32"/>
          <w:szCs w:val="32"/>
        </w:rPr>
        <w:t>适用本条例。</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kern w:val="0"/>
          <w:sz w:val="32"/>
          <w:szCs w:val="32"/>
        </w:rPr>
      </w:pPr>
      <w:r>
        <w:rPr>
          <w:rFonts w:ascii="黑体" w:hAnsi="黑体" w:cs="宋体" w:hint="eastAsia" w:eastAsia="黑体"/>
          <w:b w:val="false"/>
          <w:bCs/>
          <w:kern w:val="0"/>
          <w:sz w:val="32"/>
          <w:szCs w:val="32"/>
        </w:rPr>
        <w:t>第三条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本条例所称绿色建筑，是指在建筑的全寿命期内，最大限度地节约资源、保护环境和减少污染，为人们提供健康、适用和高效的使用空间，与自然和谐共生的民用建筑。</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 w:hAnsi="仿宋" w:eastAsia="仿宋" w:cs="仿宋" w:hint="eastAsia"/>
          <w:kern w:val="0"/>
          <w:sz w:val="32"/>
          <w:szCs w:val="32"/>
        </w:rPr>
      </w:pPr>
      <w:r>
        <w:rPr>
          <w:rFonts w:ascii="黑体" w:hAnsi="黑体" w:cs="宋体" w:hint="eastAsia" w:eastAsia="黑体"/>
          <w:b w:val="false"/>
          <w:bCs/>
          <w:kern w:val="0"/>
          <w:sz w:val="32"/>
          <w:szCs w:val="32"/>
        </w:rPr>
        <w:t>第四条</w:t>
      </w:r>
      <w:r>
        <w:rPr>
          <w:rFonts w:ascii="宋体" w:hAnsi="宋体" w:cs="宋体" w:hint="eastAsia" w:eastAsia="黑体"/>
          <w:b/>
          <w:kern w:val="0"/>
          <w:sz w:val="32"/>
          <w:szCs w:val="32"/>
        </w:rPr>
        <w:t>　</w:t>
      </w:r>
      <w:r>
        <w:rPr>
          <w:rFonts w:ascii="宋体" w:hAnsi="宋体" w:cs="宋体" w:eastAsia="仿宋_GB2312;仿宋"/>
          <w:kern w:val="0"/>
          <w:sz w:val="32"/>
          <w:szCs w:val="32"/>
        </w:rPr>
        <w:t>县级以上人民政</w:t>
      </w:r>
      <w:r>
        <w:rPr>
          <w:rFonts w:ascii="仿宋" w:hAnsi="仿宋" w:cs="仿宋" w:hint="eastAsia" w:eastAsia="仿宋"/>
          <w:kern w:val="0"/>
          <w:sz w:val="32"/>
          <w:szCs w:val="32"/>
        </w:rPr>
        <w:t>府应当将绿色建筑发展工作纳入国民经济和社会发展规划，建立和完善绿色建筑发展工作机制和目标责任考核制度，推动绿色建筑发展。</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黑体" w:hAnsi="黑体" w:cs="宋体" w:hint="eastAsia" w:eastAsia="黑体"/>
          <w:b w:val="false"/>
          <w:bCs/>
          <w:kern w:val="0"/>
          <w:sz w:val="32"/>
          <w:szCs w:val="32"/>
        </w:rPr>
        <w:t>第五条</w:t>
      </w:r>
      <w:r>
        <w:rPr>
          <w:rFonts w:ascii="宋体" w:hAnsi="宋体" w:cs="宋体" w:hint="eastAsia" w:eastAsia="黑体"/>
          <w:b/>
          <w:kern w:val="0"/>
          <w:sz w:val="32"/>
          <w:szCs w:val="32"/>
        </w:rPr>
        <w:t>　</w:t>
      </w:r>
      <w:r>
        <w:rPr>
          <w:rFonts w:ascii="宋体" w:hAnsi="宋体" w:cs="宋体" w:eastAsia="仿宋_GB2312;仿宋"/>
          <w:kern w:val="0"/>
          <w:sz w:val="32"/>
          <w:szCs w:val="32"/>
        </w:rPr>
        <w:t>县级以上人民政府建设主管部门负责</w:t>
      </w:r>
      <w:r>
        <w:rPr>
          <w:rFonts w:ascii="宋体" w:hAnsi="宋体" w:cs="宋体" w:hint="eastAsia" w:eastAsia="仿宋_GB2312;仿宋"/>
          <w:kern w:val="0"/>
          <w:sz w:val="32"/>
          <w:szCs w:val="32"/>
        </w:rPr>
        <w:t>本行政区域内</w:t>
      </w:r>
      <w:r>
        <w:rPr>
          <w:rFonts w:ascii="宋体" w:hAnsi="宋体" w:cs="宋体" w:eastAsia="仿宋_GB2312;仿宋"/>
          <w:kern w:val="0"/>
          <w:sz w:val="32"/>
          <w:szCs w:val="32"/>
        </w:rPr>
        <w:t>绿色建筑活动的监督管理工作。</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仿宋_GB2312;仿宋"/>
          <w:kern w:val="0"/>
          <w:sz w:val="32"/>
          <w:szCs w:val="32"/>
        </w:rPr>
        <w:t>县级以上人民政府发展和改革</w:t>
      </w:r>
      <w:r>
        <w:rPr>
          <w:rFonts w:ascii="宋体" w:hAnsi="宋体" w:cs="宋体" w:eastAsia="仿宋_GB2312;仿宋"/>
          <w:kern w:val="0"/>
          <w:sz w:val="32"/>
          <w:szCs w:val="32"/>
        </w:rPr>
        <w:t>、</w:t>
      </w:r>
      <w:r>
        <w:rPr>
          <w:rFonts w:ascii="宋体" w:hAnsi="宋体" w:cs="宋体" w:hint="eastAsia" w:eastAsia="仿宋_GB2312;仿宋"/>
          <w:kern w:val="0"/>
          <w:sz w:val="32"/>
          <w:szCs w:val="32"/>
        </w:rPr>
        <w:t>经济和信息化</w:t>
      </w:r>
      <w:r>
        <w:rPr>
          <w:rFonts w:ascii="宋体" w:hAnsi="宋体" w:cs="宋体" w:eastAsia="仿宋_GB2312;仿宋"/>
          <w:kern w:val="0"/>
          <w:sz w:val="32"/>
          <w:szCs w:val="32"/>
        </w:rPr>
        <w:t>、财政、规划、国土资源、环境保护、</w:t>
      </w:r>
      <w:r>
        <w:rPr>
          <w:rFonts w:ascii="宋体" w:hAnsi="宋体" w:cs="宋体" w:hint="eastAsia" w:eastAsia="仿宋_GB2312;仿宋"/>
          <w:kern w:val="0"/>
          <w:sz w:val="32"/>
          <w:szCs w:val="32"/>
        </w:rPr>
        <w:t>科技、</w:t>
      </w:r>
      <w:r>
        <w:rPr>
          <w:rFonts w:ascii="宋体" w:hAnsi="宋体" w:cs="宋体" w:eastAsia="仿宋_GB2312;仿宋"/>
          <w:kern w:val="0"/>
          <w:sz w:val="32"/>
          <w:szCs w:val="32"/>
        </w:rPr>
        <w:t>水利、</w:t>
      </w:r>
      <w:r>
        <w:rPr>
          <w:rFonts w:ascii="宋体" w:hAnsi="宋体" w:cs="宋体" w:hint="eastAsia" w:eastAsia="仿宋_GB2312;仿宋"/>
          <w:kern w:val="0"/>
          <w:sz w:val="32"/>
          <w:szCs w:val="32"/>
        </w:rPr>
        <w:t>统计、机关事务管理等有关部门按照各自职责，共同做好绿色建筑发展相关工作。</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仿宋" w:hAnsi="仿宋" w:eastAsia="仿宋" w:cs="仿宋" w:hint="eastAsia"/>
          <w:kern w:val="0"/>
          <w:sz w:val="32"/>
          <w:szCs w:val="32"/>
        </w:rPr>
      </w:pPr>
      <w:r>
        <w:rPr>
          <w:rFonts w:ascii="黑体" w:hAnsi="黑体" w:cs="黑体" w:hint="eastAsia" w:eastAsia="黑体"/>
          <w:kern w:val="0"/>
          <w:sz w:val="32"/>
          <w:szCs w:val="32"/>
        </w:rPr>
        <w:t>第六条</w:t>
      </w:r>
      <w:r>
        <w:rPr>
          <w:rFonts w:ascii="仿宋" w:hAnsi="仿宋" w:cs="仿宋" w:hint="eastAsia" w:eastAsia="仿宋"/>
          <w:kern w:val="0"/>
          <w:sz w:val="32"/>
          <w:szCs w:val="32"/>
        </w:rPr>
        <w:t xml:space="preserve"> 县级以上人民政府应当制定推动绿色建筑发展的政策措施，鼓励和支持绿色建筑技术的研究、开发、示范、推广和宣传，促进绿色建筑技术进步与创新。</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仿宋_GB2312;仿宋"/>
          <w:kern w:val="0"/>
          <w:sz w:val="32"/>
          <w:szCs w:val="32"/>
        </w:rPr>
        <w:t>对在绿色建筑工作中做出显著成绩的单位和个人</w:t>
      </w:r>
      <w:r>
        <w:rPr>
          <w:rFonts w:ascii="仿宋" w:hAnsi="仿宋" w:cs="仿宋" w:hint="eastAsia" w:eastAsia="仿宋"/>
          <w:kern w:val="0"/>
          <w:sz w:val="32"/>
          <w:szCs w:val="32"/>
        </w:rPr>
        <w:t>，县级以上人民政府应当</w:t>
      </w:r>
      <w:r>
        <w:rPr>
          <w:rFonts w:ascii="宋体" w:hAnsi="宋体" w:cs="宋体" w:hint="eastAsia" w:eastAsia="仿宋_GB2312;仿宋"/>
          <w:kern w:val="0"/>
          <w:sz w:val="32"/>
          <w:szCs w:val="32"/>
        </w:rPr>
        <w:t>给予表彰奖励。</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b/>
          <w:kern w:val="0"/>
          <w:sz w:val="32"/>
          <w:szCs w:val="32"/>
        </w:rPr>
      </w:pPr>
      <w:r>
        <w:rPr>
          <w:rFonts w:eastAsia="黑体" w:cs="宋体" w:hint="eastAsia" w:ascii="黑体" w:hAnsi="黑体"/>
          <w:b/>
          <w:kern w:val="0"/>
          <w:sz w:val="32"/>
          <w:szCs w:val="32"/>
        </w:rPr>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auto" w:line="240"/>
        <w:ind w:firstLineChars="0" w:firstLine="0" w:startChars="0" w:start="0" w:endChars="0" w:end="0"/>
        <w:jc w:val="center"/>
        <w:textAlignment w:val="auto"/>
        <w:rPr>
          <w:rFonts w:ascii="宋体" w:hAnsi="宋体" w:eastAsia="黑体" w:cs="宋体" w:hint="eastAsia"/>
          <w:b w:val="false"/>
          <w:bCs/>
          <w:kern w:val="0"/>
          <w:sz w:val="32"/>
          <w:szCs w:val="32"/>
        </w:rPr>
      </w:pPr>
      <w:r>
        <w:rPr>
          <w:rFonts w:ascii="宋体" w:hAnsi="宋体" w:cs="宋体" w:hint="eastAsia" w:eastAsia="黑体"/>
          <w:b w:val="false"/>
          <w:bCs/>
          <w:kern w:val="0"/>
          <w:sz w:val="32"/>
          <w:szCs w:val="32"/>
        </w:rPr>
        <w:t>　规划与建设</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both"/>
        <w:textAlignment w:val="auto"/>
        <w:rPr>
          <w:rFonts w:ascii="宋体" w:hAnsi="宋体" w:eastAsia="黑体" w:cs="宋体" w:hint="eastAsia"/>
          <w:b w:val="false"/>
          <w:bCs/>
          <w:kern w:val="0"/>
          <w:sz w:val="32"/>
          <w:szCs w:val="32"/>
        </w:rPr>
      </w:pPr>
      <w:r>
        <w:rPr>
          <w:rFonts w:eastAsia="黑体" w:cs="宋体" w:hint="eastAsia" w:ascii="宋体" w:hAnsi="宋体"/>
          <w:b w:val="false"/>
          <w:bCs/>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b/>
          <w:color w:val="0000FF"/>
          <w:kern w:val="0"/>
          <w:sz w:val="32"/>
          <w:szCs w:val="32"/>
        </w:rPr>
      </w:pPr>
      <w:r>
        <w:rPr>
          <w:rFonts w:ascii="宋体" w:hAnsi="宋体" w:cs="宋体" w:hint="eastAsia" w:eastAsia="黑体"/>
          <w:b w:val="false"/>
          <w:bCs/>
          <w:kern w:val="0"/>
          <w:sz w:val="32"/>
          <w:szCs w:val="32"/>
        </w:rPr>
        <w:t>第七条</w:t>
      </w:r>
      <w:r>
        <w:rPr>
          <w:rFonts w:ascii="宋体" w:hAnsi="宋体" w:cs="宋体" w:hint="eastAsia" w:eastAsia="黑体"/>
          <w:b/>
          <w:kern w:val="0"/>
          <w:sz w:val="32"/>
          <w:szCs w:val="32"/>
        </w:rPr>
        <w:t>　</w:t>
      </w:r>
      <w:r>
        <w:rPr>
          <w:rFonts w:ascii="宋体" w:hAnsi="宋体" w:cs="宋体" w:eastAsia="仿宋_GB2312;仿宋"/>
          <w:kern w:val="0"/>
          <w:sz w:val="32"/>
          <w:szCs w:val="32"/>
        </w:rPr>
        <w:t>编制城市总体规划应</w:t>
      </w:r>
      <w:r>
        <w:rPr>
          <w:rFonts w:ascii="仿宋" w:hAnsi="仿宋" w:cs="仿宋" w:hint="eastAsia" w:eastAsia="仿宋"/>
          <w:kern w:val="0"/>
          <w:sz w:val="32"/>
          <w:szCs w:val="32"/>
        </w:rPr>
        <w:t>当坚持</w:t>
      </w:r>
      <w:r>
        <w:rPr>
          <w:rFonts w:ascii="宋体" w:hAnsi="宋体" w:cs="宋体" w:eastAsia="仿宋_GB2312;仿宋"/>
          <w:kern w:val="0"/>
          <w:sz w:val="32"/>
          <w:szCs w:val="32"/>
        </w:rPr>
        <w:t>绿色发展原则，落实生态环保、能源综合利用、水资源综合利用、土地节约集约利用、固体废弃物综合利用等要求。</w:t>
      </w:r>
    </w:p>
    <w:p>
      <w:pPr>
        <w:pStyle w:val="Normal"/>
        <w:keepNext w:val="false"/>
        <w:keepLines w:val="false"/>
        <w:pageBreakBefore w:val="false"/>
        <w:widowControl w:val="false"/>
        <w:kinsoku w:val="true"/>
        <w:overflowPunct w:val="true"/>
        <w:autoSpaceDE w:val="true"/>
        <w:bidi w:val="0"/>
        <w:snapToGrid w:val="false"/>
        <w:spacing w:lineRule="exact" w:line="600"/>
        <w:ind w:firstLineChars="100" w:startChars="0" w:start="0" w:endChars="0" w:end="0"/>
        <w:jc w:val="both"/>
        <w:textAlignment w:val="auto"/>
        <w:rPr>
          <w:rFonts w:ascii="仿宋" w:hAnsi="仿宋" w:eastAsia="仿宋" w:cs="仿宋" w:hint="eastAsia"/>
          <w:kern w:val="0"/>
          <w:sz w:val="32"/>
          <w:szCs w:val="32"/>
        </w:rPr>
      </w:pPr>
      <w:r>
        <w:rPr>
          <w:rFonts w:ascii="宋体" w:hAnsi="宋体" w:cs="宋体" w:hint="eastAsia" w:eastAsia="仿宋_GB2312;仿宋"/>
          <w:kern w:val="0"/>
          <w:sz w:val="32"/>
          <w:szCs w:val="32"/>
        </w:rPr>
        <w:t>　县级以上人民政</w:t>
      </w:r>
      <w:r>
        <w:rPr>
          <w:rFonts w:ascii="仿宋" w:hAnsi="仿宋" w:cs="仿宋" w:hint="eastAsia" w:eastAsia="仿宋"/>
          <w:kern w:val="0"/>
          <w:sz w:val="32"/>
          <w:szCs w:val="32"/>
        </w:rPr>
        <w:t>府建设主管部门应当会同有关部门组织编制本行政区域绿色建筑专项规划，报本级人民政府批准后实施。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color w:val="000000"/>
          <w:kern w:val="0"/>
          <w:sz w:val="32"/>
          <w:szCs w:val="32"/>
        </w:rPr>
      </w:pPr>
      <w:r>
        <w:rPr>
          <w:rFonts w:ascii="宋体" w:hAnsi="宋体" w:cs="宋体" w:hint="eastAsia" w:eastAsia="黑体"/>
          <w:b w:val="false"/>
          <w:bCs/>
          <w:kern w:val="0"/>
          <w:sz w:val="32"/>
          <w:szCs w:val="32"/>
        </w:rPr>
        <w:t>第八条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编制城市</w:t>
      </w:r>
      <w:r>
        <w:rPr>
          <w:rFonts w:ascii="仿宋" w:hAnsi="仿宋" w:cs="仿宋" w:hint="eastAsia" w:eastAsia="仿宋"/>
          <w:kern w:val="0"/>
          <w:sz w:val="32"/>
          <w:szCs w:val="32"/>
        </w:rPr>
        <w:t>、</w:t>
      </w:r>
      <w:r>
        <w:rPr>
          <w:rFonts w:ascii="宋体" w:hAnsi="宋体" w:cs="宋体" w:hint="eastAsia" w:eastAsia="仿宋_GB2312;仿宋"/>
          <w:kern w:val="0"/>
          <w:sz w:val="32"/>
          <w:szCs w:val="32"/>
        </w:rPr>
        <w:t>县人民政府所</w:t>
      </w:r>
      <w:r>
        <w:rPr>
          <w:rFonts w:ascii="仿宋" w:hAnsi="仿宋" w:cs="仿宋" w:hint="eastAsia" w:eastAsia="仿宋"/>
          <w:kern w:val="0"/>
          <w:sz w:val="32"/>
          <w:szCs w:val="32"/>
        </w:rPr>
        <w:t>在地镇的控制性详细规划，应当结合周边建筑的特点，</w:t>
      </w:r>
      <w:r>
        <w:rPr>
          <w:rFonts w:ascii="仿宋" w:hAnsi="仿宋" w:cs="仿宋" w:hint="eastAsia" w:eastAsia="仿宋"/>
          <w:color w:val="000000"/>
          <w:kern w:val="0"/>
          <w:sz w:val="32"/>
          <w:szCs w:val="32"/>
        </w:rPr>
        <w:t>确定绿色建筑等级</w:t>
      </w:r>
      <w:r>
        <w:rPr>
          <w:rFonts w:ascii="宋体" w:hAnsi="宋体" w:cs="宋体" w:hint="eastAsia" w:eastAsia="仿宋_GB2312;仿宋"/>
          <w:color w:val="000000"/>
          <w:kern w:val="0"/>
          <w:sz w:val="32"/>
          <w:szCs w:val="32"/>
        </w:rPr>
        <w:t>比例、装配式建筑比例、新型墙体材料应用比例、绿色建材应用比例等技术指标。</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黑体"/>
          <w:b w:val="false"/>
          <w:bCs/>
          <w:kern w:val="0"/>
          <w:sz w:val="32"/>
          <w:szCs w:val="32"/>
        </w:rPr>
        <w:t>第九条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绿色建筑按照技术应用水平和评价要求，由低到高划分为一星、二星、三星三个等级。</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仿宋_GB2312;仿宋"/>
          <w:kern w:val="0"/>
          <w:sz w:val="32"/>
          <w:szCs w:val="32"/>
        </w:rPr>
        <w:t>城市总体规划确定</w:t>
      </w:r>
      <w:r>
        <w:rPr>
          <w:rFonts w:ascii="仿宋" w:hAnsi="仿宋" w:cs="仿宋" w:hint="eastAsia" w:eastAsia="仿宋"/>
          <w:kern w:val="0"/>
          <w:sz w:val="32"/>
          <w:szCs w:val="32"/>
        </w:rPr>
        <w:t>的</w:t>
      </w:r>
      <w:r>
        <w:rPr>
          <w:rFonts w:ascii="宋体" w:hAnsi="宋体" w:cs="宋体" w:hint="eastAsia" w:eastAsia="仿宋_GB2312;仿宋"/>
          <w:kern w:val="0"/>
          <w:sz w:val="32"/>
          <w:szCs w:val="32"/>
        </w:rPr>
        <w:t>建设用地范围内新建民用建筑，应当按照一星级以上绿色建筑标准进行规划、设计、建设。</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eastAsia="仿宋_GB2312;仿宋"/>
          <w:kern w:val="0"/>
          <w:sz w:val="32"/>
          <w:szCs w:val="32"/>
        </w:rPr>
        <w:t>使用国有资金投资或者国家融资的大型公共建筑，</w:t>
      </w:r>
      <w:r>
        <w:rPr>
          <w:rFonts w:ascii="宋体" w:hAnsi="宋体" w:cs="宋体" w:hint="eastAsia" w:eastAsia="仿宋_GB2312;仿宋"/>
          <w:kern w:val="0"/>
          <w:sz w:val="32"/>
          <w:szCs w:val="32"/>
        </w:rPr>
        <w:t>应当采用二星级以上绿色建筑标准进行规划、设计、建设。鼓励其他建筑按照二星级以上绿色建筑标准进行建设。</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00"/>
        <w:ind w:firstLineChars="200" w:startChars="0" w:start="0" w:endChars="0" w:end="0"/>
        <w:jc w:val="both"/>
        <w:textAlignment w:val="auto"/>
        <w:rPr>
          <w:rFonts w:ascii="仿宋" w:hAnsi="仿宋" w:eastAsia="仿宋" w:cs="仿宋" w:hint="eastAsia"/>
          <w:kern w:val="0"/>
          <w:sz w:val="32"/>
          <w:szCs w:val="32"/>
        </w:rPr>
      </w:pPr>
      <w:r>
        <w:rPr>
          <w:rFonts w:ascii="宋体" w:hAnsi="宋体" w:cs="宋体" w:hint="eastAsia" w:eastAsia="黑体"/>
          <w:b w:val="false"/>
          <w:bCs/>
          <w:kern w:val="0"/>
          <w:sz w:val="32"/>
          <w:szCs w:val="32"/>
        </w:rPr>
        <w:t>第十条</w:t>
      </w:r>
      <w:r>
        <w:rPr>
          <w:rFonts w:ascii="宋体" w:hAnsi="宋体" w:cs="宋体" w:hint="eastAsia" w:eastAsia="仿宋_GB2312;仿宋"/>
          <w:color w:val="FF0000"/>
          <w:kern w:val="0"/>
          <w:sz w:val="32"/>
          <w:szCs w:val="32"/>
        </w:rPr>
        <w:t>　</w:t>
      </w:r>
      <w:r>
        <w:rPr>
          <w:rFonts w:ascii="宋体" w:hAnsi="宋体" w:cs="宋体" w:eastAsia="仿宋_GB2312;仿宋"/>
          <w:kern w:val="0"/>
          <w:sz w:val="32"/>
          <w:szCs w:val="32"/>
        </w:rPr>
        <w:t>建筑工程项目的可行性研究报告或者项目申请报告应当包含绿色建筑</w:t>
      </w:r>
      <w:r>
        <w:rPr>
          <w:rFonts w:ascii="仿宋" w:hAnsi="仿宋" w:cs="仿宋" w:hint="eastAsia" w:eastAsia="仿宋"/>
          <w:kern w:val="0"/>
          <w:sz w:val="32"/>
          <w:szCs w:val="32"/>
        </w:rPr>
        <w:t>等级要求，明确工程选用的绿色建筑技术以及投资、节能减排效益等内容。</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仿宋" w:hAnsi="仿宋" w:cs="仿宋" w:hint="eastAsia" w:eastAsia="仿宋"/>
          <w:kern w:val="0"/>
          <w:sz w:val="32"/>
          <w:szCs w:val="32"/>
        </w:rPr>
        <w:t>县级以上人民政府投资主管部门在建筑工程项目立项时，应当将绿色建筑等级和相关技术指标纳入固定资产投</w:t>
      </w:r>
      <w:r>
        <w:rPr>
          <w:rFonts w:ascii="宋体" w:hAnsi="宋体" w:cs="宋体" w:eastAsia="仿宋_GB2312;仿宋"/>
          <w:kern w:val="0"/>
          <w:sz w:val="32"/>
          <w:szCs w:val="32"/>
        </w:rPr>
        <w:t>资项目</w:t>
      </w:r>
      <w:r>
        <w:rPr>
          <w:rFonts w:ascii="宋体" w:hAnsi="宋体" w:cs="宋体" w:hint="eastAsia" w:eastAsia="仿宋_GB2312;仿宋"/>
          <w:kern w:val="0"/>
          <w:sz w:val="32"/>
          <w:szCs w:val="32"/>
        </w:rPr>
        <w:t>节能评估和</w:t>
      </w:r>
      <w:r>
        <w:rPr>
          <w:rFonts w:ascii="宋体" w:hAnsi="宋体" w:cs="宋体" w:eastAsia="仿宋_GB2312;仿宋"/>
          <w:kern w:val="0"/>
          <w:sz w:val="32"/>
          <w:szCs w:val="32"/>
        </w:rPr>
        <w:t>审查范围。</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 w:hAnsi="仿宋" w:eastAsia="仿宋" w:cs="仿宋" w:hint="eastAsia"/>
          <w:kern w:val="0"/>
          <w:sz w:val="32"/>
          <w:szCs w:val="32"/>
        </w:rPr>
      </w:pPr>
      <w:r>
        <w:rPr>
          <w:rFonts w:ascii="宋体" w:hAnsi="宋体" w:cs="宋体" w:hint="eastAsia" w:eastAsia="黑体"/>
          <w:b w:val="false"/>
          <w:bCs/>
          <w:kern w:val="0"/>
          <w:sz w:val="32"/>
          <w:szCs w:val="32"/>
        </w:rPr>
        <w:t>第十一条</w:t>
      </w:r>
      <w:r>
        <w:rPr>
          <w:rFonts w:ascii="宋体" w:hAnsi="宋体" w:cs="宋体" w:hint="eastAsia" w:eastAsia="黑体"/>
          <w:b/>
          <w:kern w:val="0"/>
          <w:sz w:val="32"/>
          <w:szCs w:val="32"/>
        </w:rPr>
        <w:t>　</w:t>
      </w:r>
      <w:r>
        <w:rPr>
          <w:rFonts w:ascii="仿宋" w:hAnsi="仿宋" w:cs="仿宋" w:hint="eastAsia" w:eastAsia="仿宋"/>
          <w:kern w:val="0"/>
          <w:sz w:val="32"/>
          <w:szCs w:val="32"/>
        </w:rPr>
        <w:t>县级以上人民政府城乡规划主管部门应当根据控制性详细规划要求，在建设用地规划条件中明确绿色建筑等级和相关技术指标。</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b/>
          <w:color w:val="0000FF"/>
          <w:kern w:val="0"/>
          <w:sz w:val="32"/>
          <w:szCs w:val="32"/>
        </w:rPr>
      </w:pPr>
      <w:r>
        <w:rPr>
          <w:rFonts w:ascii="宋体" w:hAnsi="宋体" w:cs="宋体" w:hint="eastAsia" w:eastAsia="黑体"/>
          <w:b w:val="false"/>
          <w:bCs/>
          <w:kern w:val="0"/>
          <w:sz w:val="32"/>
          <w:szCs w:val="32"/>
        </w:rPr>
        <w:t>第十二条</w:t>
      </w:r>
      <w:r>
        <w:rPr>
          <w:rFonts w:ascii="宋体" w:hAnsi="宋体" w:cs="宋体" w:hint="eastAsia" w:eastAsia="黑体"/>
          <w:b/>
          <w:kern w:val="0"/>
          <w:sz w:val="32"/>
          <w:szCs w:val="32"/>
        </w:rPr>
        <w:t>　</w:t>
      </w:r>
      <w:r>
        <w:rPr>
          <w:rFonts w:ascii="仿宋" w:hAnsi="仿宋" w:cs="仿宋" w:hint="eastAsia" w:eastAsia="仿宋"/>
          <w:b w:val="false"/>
          <w:bCs/>
          <w:kern w:val="0"/>
          <w:sz w:val="32"/>
          <w:szCs w:val="32"/>
        </w:rPr>
        <w:t>县级以上人民政府</w:t>
      </w:r>
      <w:r>
        <w:rPr>
          <w:rFonts w:ascii="仿宋" w:hAnsi="仿宋" w:cs="仿宋" w:hint="eastAsia" w:eastAsia="仿宋"/>
          <w:kern w:val="0"/>
          <w:sz w:val="32"/>
          <w:szCs w:val="32"/>
        </w:rPr>
        <w:t>国土资源主管部门出让、租赁或者划拨土地用于民用建筑的，应当将建设用地规划条件确定的绿色建筑等级和相关技术指标纳入国有建设用地使用权出让合同或者国有建设用地划拨决定</w:t>
      </w:r>
      <w:r>
        <w:rPr>
          <w:rFonts w:ascii="宋体" w:hAnsi="宋体" w:cs="宋体" w:hint="eastAsia" w:eastAsia="仿宋_GB2312;仿宋"/>
          <w:kern w:val="0"/>
          <w:sz w:val="32"/>
          <w:szCs w:val="32"/>
        </w:rPr>
        <w:t>书。</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黑体"/>
          <w:b w:val="false"/>
          <w:bCs/>
          <w:kern w:val="0"/>
          <w:sz w:val="32"/>
          <w:szCs w:val="32"/>
        </w:rPr>
        <w:t>第十三条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建设单位委托项目咨询、设计、施工、检验检测时，应</w:t>
      </w:r>
      <w:r>
        <w:rPr>
          <w:rFonts w:ascii="仿宋" w:hAnsi="仿宋" w:cs="仿宋" w:hint="eastAsia" w:eastAsia="仿宋"/>
          <w:kern w:val="0"/>
          <w:sz w:val="32"/>
          <w:szCs w:val="32"/>
        </w:rPr>
        <w:t>当明确建筑工程的绿色建筑等级、装配式建筑装配率等指标要求，不得明示或者暗示受委托单位</w:t>
      </w:r>
      <w:r>
        <w:rPr>
          <w:rFonts w:ascii="宋体" w:hAnsi="宋体" w:cs="宋体" w:hint="eastAsia" w:eastAsia="仿宋_GB2312;仿宋"/>
          <w:kern w:val="0"/>
          <w:sz w:val="32"/>
          <w:szCs w:val="32"/>
        </w:rPr>
        <w:t>降低绿色建筑标准。</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黑体"/>
          <w:b w:val="false"/>
          <w:bCs/>
          <w:kern w:val="0"/>
          <w:sz w:val="32"/>
          <w:szCs w:val="32"/>
        </w:rPr>
        <w:t>第十四条</w:t>
      </w:r>
      <w:r>
        <w:rPr>
          <w:rFonts w:ascii="宋体" w:hAnsi="宋体" w:cs="宋体" w:hint="eastAsia" w:eastAsia="仿宋_GB2312;仿宋"/>
          <w:kern w:val="0"/>
          <w:sz w:val="32"/>
          <w:szCs w:val="32"/>
        </w:rPr>
        <w:t>　设计单位应当按照绿色建筑标准进行设计，设计文件应当包括绿色建筑设计专篇。</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 w:hAnsi="仿宋" w:eastAsia="仿宋" w:cs="仿宋" w:hint="eastAsia"/>
          <w:kern w:val="0"/>
          <w:sz w:val="32"/>
          <w:szCs w:val="32"/>
        </w:rPr>
      </w:pPr>
      <w:r>
        <w:rPr>
          <w:rFonts w:ascii="宋体" w:hAnsi="宋体" w:cs="宋体" w:hint="eastAsia" w:eastAsia="仿宋_GB2312;仿宋"/>
          <w:kern w:val="0"/>
          <w:sz w:val="32"/>
          <w:szCs w:val="32"/>
        </w:rPr>
        <w:t>施工图审查机构应当对施工图</w:t>
      </w:r>
      <w:r>
        <w:rPr>
          <w:rFonts w:ascii="仿宋" w:hAnsi="仿宋" w:cs="仿宋" w:hint="eastAsia" w:eastAsia="仿宋"/>
          <w:kern w:val="0"/>
          <w:sz w:val="32"/>
          <w:szCs w:val="32"/>
        </w:rPr>
        <w:t>设计文件中的绿色建筑设计内容进行审查，并在审查意见书中注明是否符合绿色建筑标准的结论。</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 w:hAnsi="仿宋" w:eastAsia="仿宋" w:cs="仿宋" w:hint="eastAsia"/>
          <w:kern w:val="0"/>
          <w:sz w:val="32"/>
          <w:szCs w:val="32"/>
        </w:rPr>
      </w:pPr>
      <w:r>
        <w:rPr>
          <w:rFonts w:ascii="宋体" w:hAnsi="宋体" w:cs="宋体" w:hint="eastAsia" w:eastAsia="仿宋_GB2312;仿宋"/>
          <w:kern w:val="0"/>
          <w:sz w:val="32"/>
          <w:szCs w:val="32"/>
        </w:rPr>
        <w:t>施工单位应当</w:t>
      </w:r>
      <w:r>
        <w:rPr>
          <w:rFonts w:ascii="宋体" w:hAnsi="宋体" w:cs="宋体" w:eastAsia="仿宋_GB2312;仿宋"/>
          <w:kern w:val="0"/>
          <w:sz w:val="32"/>
          <w:szCs w:val="32"/>
        </w:rPr>
        <w:t>编制</w:t>
      </w:r>
      <w:r>
        <w:rPr>
          <w:rFonts w:ascii="宋体" w:hAnsi="宋体" w:cs="宋体" w:hint="eastAsia" w:eastAsia="仿宋_GB2312;仿宋"/>
          <w:kern w:val="0"/>
          <w:sz w:val="32"/>
          <w:szCs w:val="32"/>
        </w:rPr>
        <w:t>并实施</w:t>
      </w:r>
      <w:r>
        <w:rPr>
          <w:rFonts w:ascii="宋体" w:hAnsi="宋体" w:cs="宋体" w:eastAsia="仿宋_GB2312;仿宋"/>
          <w:kern w:val="0"/>
          <w:sz w:val="32"/>
          <w:szCs w:val="32"/>
        </w:rPr>
        <w:t>绿色施工方案</w:t>
      </w:r>
      <w:r>
        <w:rPr>
          <w:rFonts w:ascii="仿宋" w:hAnsi="仿宋" w:cs="仿宋" w:hint="eastAsia" w:eastAsia="仿宋"/>
          <w:kern w:val="0"/>
          <w:sz w:val="32"/>
          <w:szCs w:val="32"/>
        </w:rPr>
        <w:t>，在施工中采取降低能耗、水耗，减少污染物排放等节能减排和环境保护措施。施工单位应当对施工现场的建筑材料、构配件、设施设备等进行查验，不符合施工图设计文件要求的，不得使用。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仿宋" w:hAnsi="仿宋" w:cs="仿宋" w:hint="eastAsia" w:eastAsia="仿宋"/>
          <w:kern w:val="0"/>
          <w:sz w:val="32"/>
          <w:szCs w:val="32"/>
        </w:rPr>
        <w:t>监理单位应当根据施工图设计文件和绿色建筑标准编制绿</w:t>
      </w:r>
      <w:r>
        <w:rPr>
          <w:rFonts w:ascii="宋体" w:hAnsi="宋体" w:cs="宋体" w:eastAsia="仿宋_GB2312;仿宋"/>
          <w:kern w:val="0"/>
          <w:sz w:val="32"/>
          <w:szCs w:val="32"/>
        </w:rPr>
        <w:t>色建筑</w:t>
      </w:r>
      <w:r>
        <w:rPr>
          <w:rFonts w:ascii="宋体" w:hAnsi="宋体" w:cs="宋体" w:hint="eastAsia" w:eastAsia="仿宋_GB2312;仿宋"/>
          <w:kern w:val="0"/>
          <w:sz w:val="32"/>
          <w:szCs w:val="32"/>
        </w:rPr>
        <w:t>监理方案并组织实施</w:t>
      </w:r>
      <w:r>
        <w:rPr>
          <w:rFonts w:ascii="宋体" w:hAnsi="宋体" w:cs="宋体" w:eastAsia="仿宋_GB2312;仿宋"/>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黑体"/>
          <w:b w:val="false"/>
          <w:bCs/>
          <w:kern w:val="0"/>
          <w:sz w:val="32"/>
          <w:szCs w:val="32"/>
        </w:rPr>
        <w:t>第十五条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建设单位应当将绿色建筑标准纳入工程竣工验收。不符合绿色建筑标准的，不得通过竣工验收。</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 w:hAnsi="仿宋" w:eastAsia="仿宋" w:cs="仿宋" w:hint="eastAsia"/>
          <w:kern w:val="0"/>
          <w:sz w:val="32"/>
          <w:szCs w:val="32"/>
        </w:rPr>
      </w:pPr>
      <w:r>
        <w:rPr>
          <w:rFonts w:ascii="宋体" w:hAnsi="宋体" w:cs="宋体" w:hint="eastAsia" w:eastAsia="仿宋_GB2312;仿宋"/>
          <w:kern w:val="0"/>
          <w:sz w:val="32"/>
          <w:szCs w:val="32"/>
        </w:rPr>
        <w:t>建设单位未按照绿色建筑标准验收</w:t>
      </w:r>
      <w:r>
        <w:rPr>
          <w:rFonts w:ascii="仿宋" w:hAnsi="仿宋" w:cs="仿宋" w:hint="eastAsia" w:eastAsia="仿宋"/>
          <w:kern w:val="0"/>
          <w:sz w:val="32"/>
          <w:szCs w:val="32"/>
        </w:rPr>
        <w:t>的，县级以上人民政府建设主管部门应当责令重新组织验收。</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 w:hAnsi="仿宋" w:eastAsia="仿宋" w:cs="仿宋" w:hint="eastAsia"/>
          <w:kern w:val="0"/>
          <w:sz w:val="32"/>
          <w:szCs w:val="32"/>
        </w:rPr>
      </w:pPr>
      <w:r>
        <w:rPr>
          <w:rFonts w:ascii="宋体" w:hAnsi="宋体" w:cs="宋体" w:hint="eastAsia" w:eastAsia="黑体"/>
          <w:b w:val="false"/>
          <w:bCs/>
          <w:kern w:val="0"/>
          <w:sz w:val="32"/>
          <w:szCs w:val="32"/>
        </w:rPr>
        <w:t>第十六条</w:t>
      </w:r>
      <w:r>
        <w:rPr>
          <w:rFonts w:ascii="宋体" w:hAnsi="宋体" w:cs="宋体" w:hint="eastAsia" w:eastAsia="黑体"/>
          <w:b/>
          <w:kern w:val="0"/>
          <w:sz w:val="32"/>
          <w:szCs w:val="32"/>
        </w:rPr>
        <w:t>　</w:t>
      </w:r>
      <w:r>
        <w:rPr>
          <w:rFonts w:ascii="仿宋" w:hAnsi="仿宋" w:cs="仿宋" w:hint="eastAsia" w:eastAsia="仿宋"/>
          <w:kern w:val="0"/>
          <w:sz w:val="32"/>
          <w:szCs w:val="32"/>
        </w:rPr>
        <w:t>建设单位应当在建设项目施工现场公示绿色建筑等级和相关技术指标。</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黑体"/>
          <w:b w:val="false"/>
          <w:bCs/>
          <w:kern w:val="0"/>
          <w:sz w:val="32"/>
          <w:szCs w:val="32"/>
        </w:rPr>
        <w:t>第十七条</w:t>
      </w:r>
      <w:r>
        <w:rPr>
          <w:rFonts w:ascii="宋体" w:hAnsi="宋体" w:cs="宋体" w:hint="eastAsia" w:eastAsia="黑体"/>
          <w:b/>
          <w:kern w:val="0"/>
          <w:sz w:val="32"/>
          <w:szCs w:val="32"/>
        </w:rPr>
        <w:t>　</w:t>
      </w:r>
      <w:r>
        <w:rPr>
          <w:rFonts w:ascii="仿宋" w:hAnsi="仿宋" w:cs="仿宋" w:hint="eastAsia" w:eastAsia="仿宋"/>
          <w:b w:val="false"/>
          <w:bCs/>
          <w:kern w:val="0"/>
          <w:sz w:val="32"/>
          <w:szCs w:val="32"/>
        </w:rPr>
        <w:t>建设单位应当根据绿色建筑等级要求承担质量保证责任。交付新建绿色建筑，</w:t>
      </w:r>
      <w:r>
        <w:rPr>
          <w:rFonts w:ascii="宋体" w:hAnsi="宋体" w:cs="宋体" w:hint="eastAsia" w:eastAsia="仿宋_GB2312;仿宋"/>
          <w:kern w:val="0"/>
          <w:sz w:val="32"/>
          <w:szCs w:val="32"/>
        </w:rPr>
        <w:t>应当在房屋使用说明书中载明下列内容：</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仿宋_GB2312;仿宋"/>
          <w:kern w:val="0"/>
          <w:sz w:val="32"/>
          <w:szCs w:val="32"/>
        </w:rPr>
        <w:t>（一）绿色建筑</w:t>
      </w:r>
      <w:r>
        <w:rPr>
          <w:rFonts w:ascii="仿宋" w:hAnsi="仿宋" w:cs="仿宋" w:hint="eastAsia" w:eastAsia="仿宋"/>
          <w:kern w:val="0"/>
          <w:sz w:val="32"/>
          <w:szCs w:val="32"/>
        </w:rPr>
        <w:t>等</w:t>
      </w:r>
      <w:r>
        <w:rPr>
          <w:rFonts w:ascii="宋体" w:hAnsi="宋体" w:cs="宋体" w:hint="eastAsia" w:eastAsia="仿宋_GB2312;仿宋"/>
          <w:kern w:val="0"/>
          <w:sz w:val="32"/>
          <w:szCs w:val="32"/>
        </w:rPr>
        <w:t>级及技术措施；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仿宋_GB2312;仿宋"/>
          <w:kern w:val="0"/>
          <w:sz w:val="32"/>
          <w:szCs w:val="32"/>
        </w:rPr>
        <w:t>（二）装配式建筑装配率与部位；</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仿宋_GB2312;仿宋"/>
          <w:kern w:val="0"/>
          <w:sz w:val="32"/>
          <w:szCs w:val="32"/>
        </w:rPr>
        <w:t>（三）建筑围护结构体系及相应的保护、维护要求；</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仿宋_GB2312;仿宋"/>
          <w:kern w:val="0"/>
          <w:sz w:val="32"/>
          <w:szCs w:val="32"/>
        </w:rPr>
        <w:t>（四）建筑用能系统状况及使用要求；</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仿宋_GB2312;仿宋"/>
          <w:kern w:val="0"/>
          <w:sz w:val="32"/>
          <w:szCs w:val="32"/>
        </w:rPr>
        <w:t>（五）可再生能源利用系统状况及相应的保护、使用要求；</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仿宋_GB2312;仿宋"/>
          <w:kern w:val="0"/>
          <w:sz w:val="32"/>
          <w:szCs w:val="32"/>
        </w:rPr>
        <w:t>（六）照明设备及控制情况；</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仿宋_GB2312;仿宋"/>
          <w:kern w:val="0"/>
          <w:sz w:val="32"/>
          <w:szCs w:val="32"/>
        </w:rPr>
        <w:t>（七）非传统水源利用设施及使用要求；</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仿宋_GB2312;仿宋"/>
          <w:kern w:val="0"/>
          <w:sz w:val="32"/>
          <w:szCs w:val="32"/>
        </w:rPr>
        <w:t>（八）用水设备、卫生器具的节水等级；</w:t>
      </w:r>
    </w:p>
    <w:p>
      <w:pPr>
        <w:pStyle w:val="1"/>
        <w:keepNext w:val="false"/>
        <w:keepLines w:val="false"/>
        <w:pageBreakBefore w:val="false"/>
        <w:widowControl w:val="false"/>
        <w:kinsoku w:val="true"/>
        <w:overflowPunct w:val="true"/>
        <w:autoSpaceDE w:val="true"/>
        <w:bidi w:val="0"/>
        <w:snapToGrid w:val="false"/>
        <w:spacing w:lineRule="exact" w:line="600"/>
        <w:ind w:endChars="0" w:end="0"/>
        <w:jc w:val="both"/>
        <w:textAlignment w:val="auto"/>
        <w:rPr>
          <w:rFonts w:ascii="宋体" w:hAnsi="宋体" w:eastAsia="仿宋_GB2312;仿宋" w:cs="宋体" w:hint="eastAsia"/>
          <w:kern w:val="0"/>
          <w:sz w:val="32"/>
          <w:szCs w:val="32"/>
        </w:rPr>
      </w:pPr>
      <w:r>
        <w:rPr>
          <w:rFonts w:ascii="宋体" w:hAnsi="宋体" w:cs="宋体" w:hint="eastAsia" w:eastAsia="仿宋_GB2312;仿宋"/>
          <w:kern w:val="0"/>
          <w:sz w:val="32"/>
          <w:szCs w:val="32"/>
        </w:rPr>
        <w:t>（九）其他依法应当载明的事项。</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 w:hAnsi="仿宋" w:eastAsia="仿宋" w:cs="仿宋" w:hint="eastAsia"/>
          <w:kern w:val="0"/>
          <w:sz w:val="32"/>
          <w:szCs w:val="32"/>
        </w:rPr>
      </w:pPr>
      <w:r>
        <w:rPr>
          <w:rFonts w:ascii="宋体" w:hAnsi="宋体" w:cs="宋体" w:hint="eastAsia" w:eastAsia="黑体"/>
          <w:b w:val="false"/>
          <w:bCs/>
          <w:kern w:val="0"/>
          <w:sz w:val="32"/>
          <w:szCs w:val="32"/>
        </w:rPr>
        <w:t>第十八条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销售符合绿色建筑标准商</w:t>
      </w:r>
      <w:r>
        <w:rPr>
          <w:rFonts w:ascii="仿宋" w:hAnsi="仿宋" w:cs="仿宋" w:hint="eastAsia" w:eastAsia="仿宋"/>
          <w:kern w:val="0"/>
          <w:sz w:val="32"/>
          <w:szCs w:val="32"/>
        </w:rPr>
        <w:t>品房的，应当在商品房买卖合同和质量保证书中载明下列内容：</w:t>
      </w:r>
    </w:p>
    <w:p>
      <w:pPr>
        <w:pStyle w:val="1"/>
        <w:keepNext w:val="false"/>
        <w:keepLines w:val="false"/>
        <w:pageBreakBefore w:val="false"/>
        <w:widowControl w:val="false"/>
        <w:kinsoku w:val="true"/>
        <w:overflowPunct w:val="true"/>
        <w:autoSpaceDE w:val="true"/>
        <w:bidi w:val="0"/>
        <w:snapToGrid w:val="false"/>
        <w:spacing w:lineRule="exact" w:line="600"/>
        <w:ind w:firstLineChars="189" w:endChars="0" w:end="0"/>
        <w:jc w:val="both"/>
        <w:textAlignment w:val="auto"/>
        <w:rPr>
          <w:rFonts w:ascii="宋体" w:hAnsi="宋体" w:eastAsia="仿宋_GB2312;仿宋" w:cs="宋体"/>
          <w:kern w:val="0"/>
          <w:sz w:val="32"/>
          <w:szCs w:val="32"/>
        </w:rPr>
      </w:pPr>
      <w:r>
        <w:rPr>
          <w:rFonts w:ascii="宋体" w:hAnsi="宋体" w:cs="宋体" w:hint="eastAsia" w:eastAsia="仿宋_GB2312;仿宋"/>
          <w:kern w:val="0"/>
          <w:sz w:val="32"/>
          <w:szCs w:val="32"/>
        </w:rPr>
        <w:t>（一）建筑能源资源消耗指标；</w:t>
      </w:r>
    </w:p>
    <w:p>
      <w:pPr>
        <w:pStyle w:val="1"/>
        <w:keepNext w:val="false"/>
        <w:keepLines w:val="false"/>
        <w:pageBreakBefore w:val="false"/>
        <w:widowControl w:val="false"/>
        <w:kinsoku w:val="true"/>
        <w:overflowPunct w:val="true"/>
        <w:autoSpaceDE w:val="true"/>
        <w:bidi w:val="0"/>
        <w:snapToGrid w:val="false"/>
        <w:spacing w:lineRule="exact" w:line="600"/>
        <w:ind w:firstLineChars="189" w:endChars="0" w:end="0"/>
        <w:jc w:val="both"/>
        <w:textAlignment w:val="auto"/>
        <w:rPr>
          <w:rFonts w:ascii="宋体" w:hAnsi="宋体" w:eastAsia="仿宋_GB2312;仿宋" w:cs="宋体"/>
          <w:kern w:val="0"/>
          <w:sz w:val="32"/>
          <w:szCs w:val="32"/>
        </w:rPr>
      </w:pPr>
      <w:r>
        <w:rPr>
          <w:rFonts w:ascii="宋体" w:hAnsi="宋体" w:cs="宋体" w:hint="eastAsia" w:eastAsia="仿宋_GB2312;仿宋"/>
          <w:kern w:val="0"/>
          <w:sz w:val="32"/>
          <w:szCs w:val="32"/>
        </w:rPr>
        <w:t>（二）绿色建筑措施和保护要求；</w:t>
      </w:r>
    </w:p>
    <w:p>
      <w:pPr>
        <w:pStyle w:val="1"/>
        <w:keepNext w:val="false"/>
        <w:keepLines w:val="false"/>
        <w:pageBreakBefore w:val="false"/>
        <w:widowControl w:val="false"/>
        <w:kinsoku w:val="true"/>
        <w:overflowPunct w:val="true"/>
        <w:autoSpaceDE w:val="true"/>
        <w:bidi w:val="0"/>
        <w:snapToGrid w:val="false"/>
        <w:spacing w:lineRule="exact" w:line="600"/>
        <w:ind w:firstLineChars="189" w:endChars="0" w:end="0"/>
        <w:jc w:val="both"/>
        <w:textAlignment w:val="auto"/>
        <w:rPr>
          <w:rFonts w:ascii="宋体" w:hAnsi="宋体" w:eastAsia="仿宋_GB2312;仿宋" w:cs="宋体" w:hint="eastAsia"/>
          <w:kern w:val="0"/>
          <w:sz w:val="32"/>
          <w:szCs w:val="32"/>
        </w:rPr>
      </w:pPr>
      <w:r>
        <w:rPr>
          <w:rFonts w:ascii="宋体" w:hAnsi="宋体" w:cs="宋体" w:hint="eastAsia" w:eastAsia="仿宋_GB2312;仿宋"/>
          <w:kern w:val="0"/>
          <w:sz w:val="32"/>
          <w:szCs w:val="32"/>
        </w:rPr>
        <w:t>（三）保温工程、防水工程、可再生能源利用系统保修期等；</w:t>
      </w:r>
    </w:p>
    <w:p>
      <w:pPr>
        <w:pStyle w:val="1"/>
        <w:keepNext w:val="false"/>
        <w:keepLines w:val="false"/>
        <w:pageBreakBefore w:val="false"/>
        <w:widowControl w:val="false"/>
        <w:kinsoku w:val="true"/>
        <w:overflowPunct w:val="true"/>
        <w:autoSpaceDE w:val="true"/>
        <w:bidi w:val="0"/>
        <w:snapToGrid w:val="false"/>
        <w:spacing w:lineRule="exact" w:line="600"/>
        <w:ind w:firstLineChars="0" w:firstLine="0" w:endChars="0" w:end="0"/>
        <w:jc w:val="both"/>
        <w:textAlignment w:val="auto"/>
        <w:rPr>
          <w:rFonts w:ascii="宋体" w:hAnsi="宋体" w:eastAsia="仿宋_GB2312;仿宋" w:cs="宋体"/>
          <w:kern w:val="0"/>
          <w:sz w:val="32"/>
          <w:szCs w:val="32"/>
        </w:rPr>
      </w:pPr>
      <w:r>
        <w:rPr>
          <w:rFonts w:eastAsia="仿宋_GB2312;仿宋" w:cs="宋体" w:hint="eastAsia" w:ascii="宋体" w:hAnsi="宋体"/>
          <w:kern w:val="0"/>
          <w:sz w:val="32"/>
          <w:szCs w:val="32"/>
        </w:rPr>
        <w:t xml:space="preserve">    </w:t>
      </w:r>
      <w:r>
        <w:rPr>
          <w:rFonts w:ascii="宋体" w:hAnsi="宋体" w:cs="宋体" w:hint="eastAsia" w:eastAsia="仿宋_GB2312;仿宋"/>
          <w:kern w:val="0"/>
          <w:sz w:val="32"/>
          <w:szCs w:val="32"/>
        </w:rPr>
        <w:t>（四）其他依法应当载明的事项。</w:t>
      </w:r>
    </w:p>
    <w:p>
      <w:pPr>
        <w:pStyle w:val="1"/>
        <w:keepNext w:val="false"/>
        <w:keepLines w:val="false"/>
        <w:pageBreakBefore w:val="false"/>
        <w:widowControl w:val="false"/>
        <w:kinsoku w:val="true"/>
        <w:overflowPunct w:val="true"/>
        <w:autoSpaceDE w:val="true"/>
        <w:bidi w:val="0"/>
        <w:snapToGrid w:val="false"/>
        <w:spacing w:lineRule="auto" w:line="240"/>
        <w:ind w:endChars="0" w:end="0"/>
        <w:textAlignment w:val="auto"/>
        <w:rPr>
          <w:rFonts w:ascii="宋体" w:hAnsi="宋体" w:eastAsia="仿宋_GB2312;仿宋" w:cs="宋体" w:hint="eastAsia"/>
          <w:kern w:val="0"/>
          <w:sz w:val="32"/>
          <w:szCs w:val="32"/>
        </w:rPr>
      </w:pPr>
      <w:r>
        <w:rPr>
          <w:rFonts w:eastAsia="仿宋_GB2312;仿宋" w:cs="宋体" w:hint="eastAsia" w:ascii="宋体" w:hAnsi="宋体"/>
          <w:kern w:val="0"/>
          <w:sz w:val="32"/>
          <w:szCs w:val="32"/>
        </w:rPr>
      </w:r>
    </w:p>
    <w:p>
      <w:pPr>
        <w:pStyle w:val="Normal"/>
        <w:keepNext w:val="false"/>
        <w:keepLines w:val="false"/>
        <w:pageBreakBefore w:val="false"/>
        <w:widowControl w:val="false"/>
        <w:numPr>
          <w:ilvl w:val="0"/>
          <w:numId w:val="3"/>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b w:val="false"/>
          <w:bCs/>
          <w:kern w:val="0"/>
          <w:sz w:val="32"/>
          <w:szCs w:val="32"/>
        </w:rPr>
      </w:pPr>
      <w:r>
        <w:rPr>
          <w:rFonts w:ascii="黑体" w:hAnsi="黑体" w:cs="宋体" w:hint="eastAsia" w:eastAsia="黑体"/>
          <w:b w:val="false"/>
          <w:bCs/>
          <w:kern w:val="0"/>
          <w:sz w:val="32"/>
          <w:szCs w:val="32"/>
        </w:rPr>
        <w:t>　运营与改造</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both"/>
        <w:textAlignment w:val="auto"/>
        <w:rPr>
          <w:rFonts w:ascii="黑体" w:hAnsi="黑体" w:eastAsia="黑体" w:cs="宋体" w:hint="eastAsia"/>
          <w:b w:val="false"/>
          <w:bCs/>
          <w:kern w:val="0"/>
          <w:sz w:val="32"/>
          <w:szCs w:val="32"/>
        </w:rPr>
      </w:pPr>
      <w:r>
        <w:rPr>
          <w:rFonts w:eastAsia="黑体" w:cs="宋体" w:hint="eastAsia" w:ascii="黑体" w:hAnsi="黑体"/>
          <w:b w:val="false"/>
          <w:bCs/>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黑体"/>
          <w:b w:val="false"/>
          <w:bCs/>
          <w:kern w:val="0"/>
          <w:sz w:val="32"/>
          <w:szCs w:val="32"/>
        </w:rPr>
        <w:t>第十九条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绿色建筑的运营应当符合下列规定：</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exact" w:line="58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仿宋_GB2312;仿宋"/>
          <w:kern w:val="0"/>
          <w:sz w:val="32"/>
          <w:szCs w:val="32"/>
        </w:rPr>
        <w:t>（一）节能、节水等设施设备运行正常；</w:t>
      </w:r>
    </w:p>
    <w:p>
      <w:pPr>
        <w:pStyle w:val="Normal"/>
        <w:keepNext w:val="false"/>
        <w:keepLines w:val="false"/>
        <w:pageBreakBefore w:val="false"/>
        <w:widowControl w:val="false"/>
        <w:numPr>
          <w:ilvl w:val="0"/>
          <w:numId w:val="1"/>
        </w:numPr>
        <w:kinsoku w:val="true"/>
        <w:overflowPunct w:val="true"/>
        <w:autoSpaceDE w:val="true"/>
        <w:bidi w:val="0"/>
        <w:snapToGrid w:val="false"/>
        <w:spacing w:lineRule="exact" w:line="58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仿宋_GB2312;仿宋"/>
          <w:kern w:val="0"/>
          <w:sz w:val="32"/>
          <w:szCs w:val="32"/>
        </w:rPr>
        <w:t>节能、节水、环境维护等管理制度健全；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仿宋_GB2312;仿宋"/>
          <w:kern w:val="0"/>
          <w:sz w:val="32"/>
          <w:szCs w:val="32"/>
        </w:rPr>
        <w:t>（三）供暖、通风、空调、供水、供气、照明等设备的分项能耗的监测系统运行正常，自动计量、记录完整；</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仿宋_GB2312;仿宋"/>
          <w:kern w:val="0"/>
          <w:sz w:val="32"/>
          <w:szCs w:val="32"/>
        </w:rPr>
        <w:t>（四）规范设置垃圾容器和标识，分类收集生活废弃物。</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仿宋" w:hAnsi="仿宋" w:eastAsia="仿宋" w:cs="仿宋" w:hint="eastAsia"/>
          <w:kern w:val="0"/>
          <w:sz w:val="32"/>
          <w:szCs w:val="32"/>
        </w:rPr>
      </w:pPr>
      <w:r>
        <w:rPr>
          <w:rFonts w:ascii="宋体" w:hAnsi="宋体" w:cs="宋体" w:hint="eastAsia" w:eastAsia="黑体"/>
          <w:b w:val="false"/>
          <w:bCs/>
          <w:kern w:val="0"/>
          <w:sz w:val="32"/>
          <w:szCs w:val="32"/>
        </w:rPr>
        <w:t>第二十条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建筑装修不得破坏原有的围护结构、用能设备、可再生能源利用系统、装配式构配件、非传统水源利用等设施</w:t>
      </w:r>
      <w:r>
        <w:rPr>
          <w:rFonts w:ascii="仿宋" w:hAnsi="仿宋" w:cs="仿宋" w:hint="eastAsia" w:eastAsia="仿宋"/>
          <w:kern w:val="0"/>
          <w:sz w:val="32"/>
          <w:szCs w:val="32"/>
        </w:rPr>
        <w:t>设备。</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仿宋_GB2312;仿宋"/>
          <w:kern w:val="0"/>
          <w:sz w:val="32"/>
          <w:szCs w:val="32"/>
        </w:rPr>
        <w:t>违反前款规定的，物业服务企业、业主委员会应当及时制止，并及时报告房地产主管部门。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黑体"/>
          <w:b w:val="false"/>
          <w:bCs/>
          <w:kern w:val="0"/>
          <w:sz w:val="32"/>
          <w:szCs w:val="32"/>
        </w:rPr>
        <w:t>第二十一条</w:t>
      </w:r>
      <w:r>
        <w:rPr>
          <w:rFonts w:ascii="宋体" w:hAnsi="宋体" w:cs="宋体" w:hint="eastAsia" w:eastAsia="黑体"/>
          <w:b/>
          <w:kern w:val="0"/>
          <w:sz w:val="32"/>
          <w:szCs w:val="32"/>
        </w:rPr>
        <w:t>　</w:t>
      </w:r>
      <w:r>
        <w:rPr>
          <w:rFonts w:ascii="宋体" w:hAnsi="宋体" w:cs="宋体" w:eastAsia="仿宋_GB2312;仿宋"/>
          <w:kern w:val="0"/>
          <w:sz w:val="32"/>
          <w:szCs w:val="32"/>
        </w:rPr>
        <w:t>建筑物所有权人或者使用权人与物业服务企业签订服务合同，应当</w:t>
      </w:r>
      <w:r>
        <w:rPr>
          <w:rFonts w:ascii="宋体" w:hAnsi="宋体" w:cs="宋体" w:hint="eastAsia" w:eastAsia="仿宋_GB2312;仿宋"/>
          <w:kern w:val="0"/>
          <w:sz w:val="32"/>
          <w:szCs w:val="32"/>
        </w:rPr>
        <w:t>要求</w:t>
      </w:r>
      <w:r>
        <w:rPr>
          <w:rFonts w:ascii="宋体" w:hAnsi="宋体" w:cs="宋体" w:eastAsia="仿宋_GB2312;仿宋"/>
          <w:kern w:val="0"/>
          <w:sz w:val="32"/>
          <w:szCs w:val="32"/>
        </w:rPr>
        <w:t>载明符合绿色建筑特点的物业管理内容。</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宋体" w:hAnsi="宋体" w:eastAsia="仿宋_GB2312;仿宋" w:cs="宋体"/>
          <w:kern w:val="0"/>
          <w:sz w:val="32"/>
          <w:szCs w:val="32"/>
        </w:rPr>
      </w:pPr>
      <w:r>
        <w:rPr>
          <w:rFonts w:ascii="宋体" w:hAnsi="宋体" w:cs="宋体" w:eastAsia="仿宋_GB2312;仿宋"/>
          <w:kern w:val="0"/>
          <w:sz w:val="32"/>
          <w:szCs w:val="32"/>
        </w:rPr>
        <w:t>共用节能、节水等设施设备的维护应当</w:t>
      </w:r>
      <w:r>
        <w:rPr>
          <w:rFonts w:ascii="宋体" w:hAnsi="宋体" w:cs="宋体" w:hint="eastAsia" w:eastAsia="仿宋_GB2312;仿宋"/>
          <w:kern w:val="0"/>
          <w:sz w:val="32"/>
          <w:szCs w:val="32"/>
        </w:rPr>
        <w:t>由</w:t>
      </w:r>
      <w:r>
        <w:rPr>
          <w:rFonts w:ascii="宋体" w:hAnsi="宋体" w:cs="宋体" w:eastAsia="仿宋_GB2312;仿宋"/>
          <w:kern w:val="0"/>
          <w:sz w:val="32"/>
          <w:szCs w:val="32"/>
        </w:rPr>
        <w:t>具有相应技术能力的人员或者</w:t>
      </w:r>
      <w:r>
        <w:rPr>
          <w:rFonts w:ascii="仿宋" w:hAnsi="仿宋" w:cs="仿宋" w:hint="eastAsia" w:eastAsia="仿宋"/>
          <w:kern w:val="0"/>
          <w:sz w:val="32"/>
          <w:szCs w:val="32"/>
        </w:rPr>
        <w:t>受委托的专</w:t>
      </w:r>
      <w:r>
        <w:rPr>
          <w:rFonts w:ascii="宋体" w:hAnsi="宋体" w:cs="宋体" w:eastAsia="仿宋_GB2312;仿宋"/>
          <w:kern w:val="0"/>
          <w:sz w:val="32"/>
          <w:szCs w:val="32"/>
        </w:rPr>
        <w:t>业服务</w:t>
      </w:r>
      <w:r>
        <w:rPr>
          <w:rFonts w:ascii="宋体" w:hAnsi="宋体" w:cs="宋体" w:hint="eastAsia" w:eastAsia="仿宋_GB2312;仿宋"/>
          <w:kern w:val="0"/>
          <w:sz w:val="32"/>
          <w:szCs w:val="32"/>
        </w:rPr>
        <w:t>机构</w:t>
      </w:r>
      <w:r>
        <w:rPr>
          <w:rFonts w:ascii="宋体" w:hAnsi="宋体" w:cs="宋体" w:eastAsia="仿宋_GB2312;仿宋"/>
          <w:kern w:val="0"/>
          <w:sz w:val="32"/>
          <w:szCs w:val="32"/>
        </w:rPr>
        <w:t>负责</w:t>
      </w:r>
      <w:r>
        <w:rPr>
          <w:rFonts w:ascii="宋体" w:hAnsi="宋体" w:cs="宋体" w:hint="eastAsia" w:eastAsia="仿宋_GB2312;仿宋"/>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黑体"/>
          <w:b w:val="false"/>
          <w:bCs/>
          <w:kern w:val="0"/>
          <w:sz w:val="32"/>
          <w:szCs w:val="32"/>
        </w:rPr>
        <w:t>第二十二条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县级以上人民政府应当建立建筑能耗监测平台，实施建筑能耗动态监测和信息共享。</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仿宋_GB2312;仿宋"/>
          <w:kern w:val="0"/>
          <w:sz w:val="32"/>
          <w:szCs w:val="32"/>
        </w:rPr>
        <w:t>县级以上人民政府建设主管部门应当会同有关部门建立健全建筑能耗统计、能源审计、能效公示等节能监管制度。</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黑体"/>
          <w:b w:val="false"/>
          <w:bCs/>
          <w:kern w:val="0"/>
          <w:sz w:val="32"/>
          <w:szCs w:val="32"/>
        </w:rPr>
        <w:t>第二十三条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自治区人民政府节能主管部</w:t>
      </w:r>
      <w:r>
        <w:rPr>
          <w:rFonts w:ascii="仿宋" w:hAnsi="仿宋" w:cs="仿宋" w:hint="eastAsia" w:eastAsia="仿宋"/>
          <w:kern w:val="0"/>
          <w:sz w:val="32"/>
          <w:szCs w:val="32"/>
        </w:rPr>
        <w:t>门、建设主管部门应当会同有关部门制定机关办公建筑和大型公共建筑能耗</w:t>
      </w:r>
      <w:r>
        <w:rPr>
          <w:rFonts w:ascii="宋体" w:hAnsi="宋体" w:cs="宋体" w:hint="eastAsia" w:eastAsia="仿宋_GB2312;仿宋"/>
          <w:kern w:val="0"/>
          <w:sz w:val="32"/>
          <w:szCs w:val="32"/>
        </w:rPr>
        <w:t>定额指标，并向社会公布。</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仿宋_GB2312;仿宋"/>
          <w:kern w:val="0"/>
          <w:sz w:val="32"/>
          <w:szCs w:val="32"/>
        </w:rPr>
        <w:t>建筑能耗实行超限额加价和差别价格制度。</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黑体"/>
          <w:b w:val="false"/>
          <w:bCs/>
          <w:kern w:val="0"/>
          <w:sz w:val="32"/>
          <w:szCs w:val="32"/>
        </w:rPr>
        <w:t>第二十四条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县级以上人民政府建设主管部门应当对民用建筑运行能耗情况进行检查，检查结果依法公开。</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仿宋_GB2312;仿宋"/>
          <w:kern w:val="0"/>
          <w:sz w:val="32"/>
          <w:szCs w:val="32"/>
        </w:rPr>
        <w:t>机关事务管理部门负责本级机关办公建筑运行能耗检查，检查情况依法公开。</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黑体"/>
          <w:b w:val="false"/>
          <w:bCs w:val="false"/>
          <w:kern w:val="0"/>
          <w:sz w:val="32"/>
          <w:szCs w:val="32"/>
        </w:rPr>
        <w:t>第二十五条</w:t>
      </w:r>
      <w:r>
        <w:rPr>
          <w:rFonts w:ascii="宋体" w:hAnsi="宋体" w:cs="宋体" w:hint="eastAsia" w:eastAsia="仿宋_GB2312;仿宋"/>
          <w:kern w:val="0"/>
          <w:sz w:val="32"/>
          <w:szCs w:val="32"/>
        </w:rPr>
        <w:t>　</w:t>
      </w:r>
      <w:r>
        <w:rPr>
          <w:rFonts w:ascii="宋体" w:hAnsi="宋体" w:cs="宋体" w:eastAsia="仿宋_GB2312;仿宋"/>
          <w:kern w:val="0"/>
          <w:sz w:val="32"/>
          <w:szCs w:val="32"/>
        </w:rPr>
        <w:t>县级</w:t>
      </w:r>
      <w:r>
        <w:rPr>
          <w:rFonts w:ascii="宋体" w:hAnsi="宋体" w:cs="宋体" w:hint="eastAsia" w:eastAsia="仿宋_GB2312;仿宋"/>
          <w:kern w:val="0"/>
          <w:sz w:val="32"/>
          <w:szCs w:val="32"/>
        </w:rPr>
        <w:t>以上人民政府应当推动民用建筑绿色改造，编制改造规划和年度计划，并组织实施。</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仿宋_GB2312;仿宋"/>
          <w:kern w:val="0"/>
          <w:sz w:val="32"/>
          <w:szCs w:val="32"/>
        </w:rPr>
        <w:t>政府投资或者以政府投资为主建</w:t>
      </w:r>
      <w:r>
        <w:rPr>
          <w:rFonts w:ascii="仿宋" w:hAnsi="仿宋" w:cs="仿宋" w:hint="eastAsia" w:eastAsia="仿宋"/>
          <w:kern w:val="0"/>
          <w:sz w:val="32"/>
          <w:szCs w:val="32"/>
        </w:rPr>
        <w:t>设的学校、医院等公</w:t>
      </w:r>
      <w:r>
        <w:rPr>
          <w:rFonts w:ascii="宋体" w:hAnsi="宋体" w:cs="宋体" w:hint="eastAsia" w:eastAsia="仿宋_GB2312;仿宋"/>
          <w:kern w:val="0"/>
          <w:sz w:val="32"/>
          <w:szCs w:val="32"/>
        </w:rPr>
        <w:t>共建筑应当先行纳入改造计划。</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黑体"/>
          <w:b w:val="false"/>
          <w:bCs/>
          <w:kern w:val="0"/>
          <w:sz w:val="32"/>
          <w:szCs w:val="32"/>
        </w:rPr>
        <w:t>第二十六条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政府投资或者以政府投资为主建设的公共建筑和其他大型公共建筑进行绿色改造的，应当同步安装与本地区建筑能耗监管信息系统联网的用能分项计量装置，并按要求</w:t>
      </w:r>
      <w:r>
        <w:rPr>
          <w:rFonts w:ascii="仿宋" w:hAnsi="仿宋" w:cs="仿宋" w:hint="eastAsia" w:eastAsia="仿宋"/>
          <w:kern w:val="0"/>
          <w:sz w:val="32"/>
          <w:szCs w:val="32"/>
        </w:rPr>
        <w:t>接入建筑能耗监测平台；不具备能耗数据上传功能的，应当及时将能源消耗数据上报所在地人民政府建设、</w:t>
      </w:r>
      <w:r>
        <w:rPr>
          <w:rFonts w:ascii="宋体" w:hAnsi="宋体" w:cs="宋体" w:hint="eastAsia" w:eastAsia="仿宋_GB2312;仿宋"/>
          <w:kern w:val="0"/>
          <w:sz w:val="32"/>
          <w:szCs w:val="32"/>
        </w:rPr>
        <w:t>节能主管部门。</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宋体" w:hAnsi="宋体" w:eastAsia="仿宋_GB2312;仿宋" w:cs="宋体"/>
          <w:b/>
          <w:color w:val="0000FF"/>
          <w:kern w:val="0"/>
          <w:sz w:val="32"/>
          <w:szCs w:val="32"/>
        </w:rPr>
      </w:pPr>
      <w:r>
        <w:rPr>
          <w:rFonts w:ascii="宋体" w:hAnsi="宋体" w:cs="宋体" w:hint="eastAsia" w:eastAsia="黑体"/>
          <w:b w:val="false"/>
          <w:bCs/>
          <w:kern w:val="0"/>
          <w:sz w:val="32"/>
          <w:szCs w:val="32"/>
        </w:rPr>
        <w:t>第二十七条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国家机关办公建筑的绿色改造费用，由县级以上人民政府纳入本级财政预算；居住建筑和教育、科学、文化、卫生、体育等公益事业使用的公共建筑纳入政府改造计划的，改造费用由政府和建筑物所有权人共同负担。</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仿宋_GB2312;仿宋"/>
          <w:kern w:val="0"/>
          <w:sz w:val="32"/>
          <w:szCs w:val="32"/>
        </w:rPr>
        <w:t>使用财政资金进行节能改造的项目，应当委托第三方进行建筑能效测评、建筑节能量核定。</w:t>
      </w:r>
    </w:p>
    <w:p>
      <w:pPr>
        <w:pStyle w:val="Normal"/>
        <w:keepNext w:val="false"/>
        <w:keepLines w:val="false"/>
        <w:pageBreakBefore w:val="false"/>
        <w:widowControl w:val="false"/>
        <w:kinsoku w:val="true"/>
        <w:overflowPunct w:val="true"/>
        <w:autoSpaceDE w:val="true"/>
        <w:bidi w:val="0"/>
        <w:snapToGrid w:val="false"/>
        <w:spacing w:lineRule="exact" w:line="58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黑体"/>
          <w:b w:val="false"/>
          <w:bCs w:val="false"/>
          <w:kern w:val="0"/>
          <w:sz w:val="32"/>
          <w:szCs w:val="32"/>
        </w:rPr>
        <w:t>第二十八条</w:t>
      </w:r>
      <w:r>
        <w:rPr>
          <w:rFonts w:ascii="宋体" w:hAnsi="宋体" w:cs="宋体" w:hint="eastAsia" w:eastAsia="仿宋_GB2312;仿宋"/>
          <w:kern w:val="0"/>
          <w:sz w:val="32"/>
          <w:szCs w:val="32"/>
        </w:rPr>
        <w:t>　政府投资或者以政府投资为主建设</w:t>
      </w:r>
      <w:r>
        <w:rPr>
          <w:rFonts w:ascii="宋体" w:hAnsi="宋体" w:cs="宋体" w:eastAsia="仿宋_GB2312;仿宋"/>
          <w:kern w:val="0"/>
          <w:sz w:val="32"/>
          <w:szCs w:val="32"/>
        </w:rPr>
        <w:t>的</w:t>
      </w:r>
      <w:r>
        <w:rPr>
          <w:rFonts w:ascii="宋体" w:hAnsi="宋体" w:cs="宋体" w:hint="eastAsia" w:eastAsia="仿宋_GB2312;仿宋"/>
          <w:kern w:val="0"/>
          <w:sz w:val="32"/>
          <w:szCs w:val="32"/>
        </w:rPr>
        <w:t>公共建筑和居住建筑</w:t>
      </w:r>
      <w:r>
        <w:rPr>
          <w:rFonts w:ascii="宋体" w:hAnsi="宋体" w:cs="宋体" w:eastAsia="仿宋_GB2312;仿宋"/>
          <w:kern w:val="0"/>
          <w:sz w:val="32"/>
          <w:szCs w:val="32"/>
        </w:rPr>
        <w:t>，</w:t>
      </w:r>
      <w:r>
        <w:rPr>
          <w:rFonts w:ascii="宋体" w:hAnsi="宋体" w:cs="宋体" w:hint="eastAsia" w:eastAsia="仿宋_GB2312;仿宋"/>
          <w:kern w:val="0"/>
          <w:sz w:val="32"/>
          <w:szCs w:val="32"/>
        </w:rPr>
        <w:t>未达到设计使用年限的</w:t>
      </w:r>
      <w:r>
        <w:rPr>
          <w:rFonts w:ascii="仿宋" w:hAnsi="仿宋" w:cs="仿宋" w:hint="eastAsia" w:eastAsia="仿宋"/>
          <w:kern w:val="0"/>
          <w:sz w:val="32"/>
          <w:szCs w:val="32"/>
        </w:rPr>
        <w:t>，不得拆除。因公共利益需要，确需提前拆除的，应当向社会公示征求意见，</w:t>
      </w:r>
      <w:r>
        <w:rPr>
          <w:rFonts w:ascii="宋体" w:hAnsi="宋体" w:cs="宋体" w:hint="eastAsia" w:eastAsia="仿宋_GB2312;仿宋"/>
          <w:kern w:val="0"/>
          <w:sz w:val="32"/>
          <w:szCs w:val="32"/>
        </w:rPr>
        <w:t>接受社会监督。</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b w:val="false"/>
          <w:bCs/>
          <w:kern w:val="0"/>
          <w:sz w:val="32"/>
          <w:szCs w:val="32"/>
        </w:rPr>
      </w:pPr>
      <w:r>
        <w:rPr>
          <w:rFonts w:eastAsia="黑体" w:cs="宋体" w:hint="eastAsia" w:ascii="黑体" w:hAnsi="黑体"/>
          <w:b w:val="false"/>
          <w:bCs/>
          <w:kern w:val="0"/>
          <w:sz w:val="32"/>
          <w:szCs w:val="32"/>
        </w:rPr>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b w:val="false"/>
          <w:bCs/>
          <w:kern w:val="0"/>
          <w:sz w:val="32"/>
          <w:szCs w:val="32"/>
        </w:rPr>
      </w:pPr>
      <w:r>
        <w:rPr>
          <w:rFonts w:ascii="黑体" w:hAnsi="黑体" w:cs="宋体" w:hint="eastAsia" w:eastAsia="黑体"/>
          <w:b w:val="false"/>
          <w:bCs/>
          <w:kern w:val="0"/>
          <w:sz w:val="32"/>
          <w:szCs w:val="32"/>
        </w:rPr>
        <w:t>　技术与应用</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both"/>
        <w:textAlignment w:val="auto"/>
        <w:rPr>
          <w:rFonts w:ascii="黑体" w:hAnsi="黑体" w:eastAsia="黑体" w:cs="宋体" w:hint="eastAsia"/>
          <w:b w:val="false"/>
          <w:bCs/>
          <w:kern w:val="0"/>
          <w:sz w:val="32"/>
          <w:szCs w:val="32"/>
        </w:rPr>
      </w:pPr>
      <w:r>
        <w:rPr>
          <w:rFonts w:eastAsia="黑体" w:cs="宋体" w:hint="eastAsia" w:ascii="黑体" w:hAnsi="黑体"/>
          <w:b w:val="false"/>
          <w:bCs/>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黑体"/>
          <w:b w:val="false"/>
          <w:bCs/>
          <w:kern w:val="0"/>
          <w:sz w:val="32"/>
          <w:szCs w:val="32"/>
        </w:rPr>
        <w:t>第二十九条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绿色建筑发展应当坚持因地制宜、被动优先、主动优化的技术路线，推广应用自然通风、自然采光、雨水利用、保温遮阳、余热利用以及太阳能、浅层地温能、空气源热能、污水源热能等可再生能源利用技术。</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黑体"/>
          <w:b w:val="false"/>
          <w:bCs/>
          <w:kern w:val="0"/>
          <w:sz w:val="32"/>
          <w:szCs w:val="32"/>
        </w:rPr>
        <w:t>第三十条　</w:t>
      </w:r>
      <w:r>
        <w:rPr>
          <w:rFonts w:ascii="宋体" w:hAnsi="宋体" w:cs="宋体" w:hint="eastAsia" w:eastAsia="仿宋_GB2312;仿宋"/>
          <w:kern w:val="0"/>
          <w:sz w:val="32"/>
          <w:szCs w:val="32"/>
        </w:rPr>
        <w:t>鼓励城镇集中开发建设的区域规划建设区域建筑能源供应系统、城市再生水系统和雨水综合利用系统。</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 w:hAnsi="仿宋" w:eastAsia="仿宋" w:cs="仿宋" w:hint="eastAsia"/>
          <w:b/>
          <w:color w:val="0000FF"/>
          <w:kern w:val="0"/>
          <w:sz w:val="32"/>
          <w:szCs w:val="32"/>
        </w:rPr>
      </w:pPr>
      <w:r>
        <w:rPr>
          <w:rFonts w:ascii="宋体" w:hAnsi="宋体" w:cs="宋体" w:hint="eastAsia" w:eastAsia="仿宋_GB2312;仿宋"/>
          <w:kern w:val="0"/>
          <w:sz w:val="32"/>
          <w:szCs w:val="32"/>
        </w:rPr>
        <w:t>规划用地面积二万平方米以上的新建建筑，应当编制雨水</w:t>
      </w:r>
      <w:r>
        <w:rPr>
          <w:rFonts w:ascii="仿宋" w:hAnsi="仿宋" w:cs="仿宋" w:hint="eastAsia" w:eastAsia="仿宋"/>
          <w:kern w:val="0"/>
          <w:sz w:val="32"/>
          <w:szCs w:val="32"/>
        </w:rPr>
        <w:t>利用专项规划，同步建设雨水收集利用系统。</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仿宋_GB2312;仿宋"/>
          <w:kern w:val="0"/>
          <w:sz w:val="32"/>
          <w:szCs w:val="32"/>
        </w:rPr>
        <w:t>新建十二层以下住宅和有热水需求的公共建筑，应当设置建筑一体化太阳能热水系统。鼓励十二层以上住宅设置建筑一体化太阳能热水系统。</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 w:hAnsi="仿宋" w:eastAsia="仿宋" w:cs="仿宋" w:hint="eastAsia"/>
          <w:kern w:val="0"/>
          <w:sz w:val="32"/>
          <w:szCs w:val="32"/>
        </w:rPr>
      </w:pPr>
      <w:r>
        <w:rPr>
          <w:rFonts w:ascii="宋体" w:hAnsi="宋体" w:cs="宋体" w:hint="eastAsia" w:eastAsia="黑体"/>
          <w:b w:val="false"/>
          <w:bCs/>
          <w:kern w:val="0"/>
          <w:sz w:val="32"/>
          <w:szCs w:val="32"/>
        </w:rPr>
        <w:t>第三十一条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县级以上人民政府应当制定发展装配式建筑的计划并组织实施，推行标准化设计、工厂化生产</w:t>
      </w:r>
      <w:r>
        <w:rPr>
          <w:rFonts w:ascii="仿宋" w:hAnsi="仿宋" w:cs="仿宋" w:hint="eastAsia" w:eastAsia="仿宋"/>
          <w:kern w:val="0"/>
          <w:sz w:val="32"/>
          <w:szCs w:val="32"/>
        </w:rPr>
        <w:t>、装配化施工、一体化装修、信息化管理、智能化应用。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仿宋_GB2312;仿宋"/>
          <w:kern w:val="0"/>
          <w:sz w:val="32"/>
          <w:szCs w:val="32"/>
        </w:rPr>
        <w:t>政府投资的新建建筑应当优先采用装配方式建造。</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黑体" w:hAnsi="黑体" w:eastAsia="黑体" w:cs="黑体" w:hint="eastAsia"/>
          <w:kern w:val="0"/>
          <w:sz w:val="32"/>
          <w:szCs w:val="32"/>
        </w:rPr>
      </w:pPr>
      <w:r>
        <w:rPr>
          <w:rFonts w:ascii="黑体" w:hAnsi="黑体" w:cs="黑体" w:hint="eastAsia" w:eastAsia="黑体"/>
          <w:kern w:val="0"/>
          <w:sz w:val="32"/>
          <w:szCs w:val="32"/>
        </w:rPr>
        <w:t xml:space="preserve">第三十二条   </w:t>
      </w:r>
      <w:r>
        <w:rPr>
          <w:rFonts w:ascii="仿宋" w:hAnsi="仿宋" w:cs="仿宋" w:hint="eastAsia" w:eastAsia="仿宋"/>
          <w:kern w:val="0"/>
          <w:sz w:val="32"/>
          <w:szCs w:val="32"/>
        </w:rPr>
        <w:t>绿色建筑应当按照国家规定使用预制砂浆、预拌混凝土、高强钢材和新型墙体材料，推广应用高性能建筑材料，鼓励使用再生建筑材料。</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黑体"/>
          <w:b w:val="false"/>
          <w:bCs/>
          <w:kern w:val="0"/>
          <w:sz w:val="32"/>
          <w:szCs w:val="32"/>
        </w:rPr>
        <w:t>第三十三条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鼓励建筑工程的勘察、设计、施工、运营和管理采用建筑信息模型技术。</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仿宋_GB2312;仿宋"/>
          <w:kern w:val="0"/>
          <w:sz w:val="32"/>
          <w:szCs w:val="32"/>
        </w:rPr>
        <w:t>大型公共建筑应当采用建筑信息模型技术。</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黑体"/>
          <w:b w:val="false"/>
          <w:bCs/>
          <w:kern w:val="0"/>
          <w:sz w:val="32"/>
          <w:szCs w:val="32"/>
        </w:rPr>
        <w:t>第三十四条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自治区人民政府建设主管部门应当建立绿色建筑技术、产品、材料的评价、推广制度，定期发布绿色建筑技术公告、绿色建材目录和新型墙体材料目录。</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仿宋_GB2312;仿宋"/>
          <w:kern w:val="0"/>
          <w:sz w:val="32"/>
          <w:szCs w:val="32"/>
        </w:rPr>
        <w:t>建筑工程不得采用国家和自治区列入禁止使用目录的</w:t>
      </w:r>
      <w:r>
        <w:rPr>
          <w:rFonts w:ascii="宋体" w:hAnsi="宋体" w:cs="宋体" w:eastAsia="仿宋_GB2312;仿宋"/>
          <w:kern w:val="0"/>
          <w:sz w:val="32"/>
          <w:szCs w:val="32"/>
        </w:rPr>
        <w:t>技术、工艺、材料和设备</w:t>
      </w:r>
      <w:r>
        <w:rPr>
          <w:rFonts w:ascii="宋体" w:hAnsi="宋体" w:cs="宋体" w:hint="eastAsia" w:eastAsia="仿宋_GB2312;仿宋"/>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b/>
          <w:kern w:val="0"/>
          <w:sz w:val="32"/>
          <w:szCs w:val="32"/>
        </w:rPr>
      </w:pPr>
      <w:r>
        <w:rPr>
          <w:rFonts w:eastAsia="黑体" w:cs="宋体" w:hint="eastAsia" w:ascii="黑体" w:hAnsi="黑体"/>
          <w:b/>
          <w:kern w:val="0"/>
          <w:sz w:val="32"/>
          <w:szCs w:val="32"/>
        </w:rPr>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b w:val="false"/>
          <w:bCs/>
          <w:kern w:val="0"/>
          <w:sz w:val="32"/>
          <w:szCs w:val="32"/>
        </w:rPr>
      </w:pPr>
      <w:r>
        <w:rPr>
          <w:rFonts w:ascii="黑体" w:hAnsi="黑体" w:cs="宋体" w:hint="eastAsia" w:eastAsia="黑体"/>
          <w:b w:val="false"/>
          <w:bCs/>
          <w:kern w:val="0"/>
          <w:sz w:val="32"/>
          <w:szCs w:val="32"/>
        </w:rPr>
        <w:t>　引导与激励</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both"/>
        <w:textAlignment w:val="auto"/>
        <w:rPr>
          <w:rFonts w:ascii="黑体" w:hAnsi="黑体" w:eastAsia="黑体" w:cs="宋体" w:hint="eastAsia"/>
          <w:b w:val="false"/>
          <w:bCs/>
          <w:kern w:val="0"/>
          <w:sz w:val="32"/>
          <w:szCs w:val="32"/>
        </w:rPr>
      </w:pPr>
      <w:r>
        <w:rPr>
          <w:rFonts w:eastAsia="黑体" w:cs="宋体" w:hint="eastAsia" w:ascii="黑体" w:hAnsi="黑体"/>
          <w:b w:val="false"/>
          <w:bCs/>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 w:hAnsi="仿宋" w:eastAsia="仿宋" w:cs="仿宋" w:hint="eastAsia"/>
          <w:kern w:val="0"/>
          <w:sz w:val="32"/>
          <w:szCs w:val="32"/>
        </w:rPr>
      </w:pPr>
      <w:r>
        <w:rPr>
          <w:rFonts w:ascii="宋体" w:hAnsi="宋体" w:cs="宋体" w:hint="eastAsia" w:eastAsia="黑体"/>
          <w:b w:val="false"/>
          <w:bCs/>
          <w:kern w:val="0"/>
          <w:sz w:val="32"/>
          <w:szCs w:val="32"/>
        </w:rPr>
        <w:t>第三十五条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县级以上人民政府应当安排绿色建筑专项资金</w:t>
      </w:r>
      <w:r>
        <w:rPr>
          <w:rFonts w:ascii="仿宋" w:hAnsi="仿宋" w:cs="仿宋" w:hint="eastAsia" w:eastAsia="仿宋"/>
          <w:kern w:val="0"/>
          <w:sz w:val="32"/>
          <w:szCs w:val="32"/>
        </w:rPr>
        <w:t>，重点用于下列事项：</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宋体" w:hAnsi="宋体" w:cs="宋体" w:eastAsia="仿宋_GB2312;仿宋"/>
          <w:kern w:val="0"/>
          <w:sz w:val="32"/>
          <w:szCs w:val="32"/>
        </w:rPr>
        <w:t>（一）绿色建筑技术、产品的研发</w:t>
      </w:r>
      <w:r>
        <w:rPr>
          <w:rFonts w:ascii="宋体" w:hAnsi="宋体" w:cs="宋体" w:hint="eastAsia" w:eastAsia="仿宋_GB2312;仿宋"/>
          <w:kern w:val="0"/>
          <w:sz w:val="32"/>
          <w:szCs w:val="32"/>
        </w:rPr>
        <w:t>和</w:t>
      </w:r>
      <w:r>
        <w:rPr>
          <w:rFonts w:ascii="宋体" w:hAnsi="宋体" w:cs="宋体" w:eastAsia="仿宋_GB2312;仿宋"/>
          <w:kern w:val="0"/>
          <w:sz w:val="32"/>
          <w:szCs w:val="32"/>
        </w:rPr>
        <w:t>推广</w:t>
      </w:r>
      <w:r>
        <w:rPr>
          <w:rFonts w:ascii="宋体" w:hAnsi="宋体" w:cs="宋体" w:hint="eastAsia" w:eastAsia="仿宋_GB2312;仿宋"/>
          <w:kern w:val="0"/>
          <w:sz w:val="32"/>
          <w:szCs w:val="32"/>
        </w:rPr>
        <w:t>应用；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宋体" w:hAnsi="宋体" w:cs="宋体" w:eastAsia="仿宋_GB2312;仿宋"/>
          <w:kern w:val="0"/>
          <w:sz w:val="32"/>
          <w:szCs w:val="32"/>
        </w:rPr>
        <w:t>（二）</w:t>
      </w:r>
      <w:r>
        <w:rPr>
          <w:rFonts w:ascii="宋体" w:hAnsi="宋体" w:cs="宋体" w:hint="eastAsia" w:eastAsia="仿宋_GB2312;仿宋"/>
          <w:kern w:val="0"/>
          <w:sz w:val="32"/>
          <w:szCs w:val="32"/>
        </w:rPr>
        <w:t>绿色建筑</w:t>
      </w:r>
      <w:r>
        <w:rPr>
          <w:rFonts w:ascii="宋体" w:hAnsi="宋体" w:cs="宋体" w:eastAsia="仿宋_GB2312;仿宋"/>
          <w:kern w:val="0"/>
          <w:sz w:val="32"/>
          <w:szCs w:val="32"/>
        </w:rPr>
        <w:t>示范</w:t>
      </w:r>
      <w:r>
        <w:rPr>
          <w:rFonts w:ascii="宋体" w:hAnsi="宋体" w:cs="宋体" w:hint="eastAsia" w:eastAsia="仿宋_GB2312;仿宋"/>
          <w:kern w:val="0"/>
          <w:sz w:val="32"/>
          <w:szCs w:val="32"/>
        </w:rPr>
        <w:t>工程和建筑产业化基地建设；</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宋体" w:hAnsi="宋体" w:cs="宋体" w:eastAsia="仿宋_GB2312;仿宋"/>
          <w:kern w:val="0"/>
          <w:sz w:val="32"/>
          <w:szCs w:val="32"/>
        </w:rPr>
        <w:t>（三）</w:t>
      </w:r>
      <w:r>
        <w:rPr>
          <w:rFonts w:ascii="宋体" w:hAnsi="宋体" w:cs="宋体" w:hint="eastAsia" w:eastAsia="仿宋_GB2312;仿宋"/>
          <w:kern w:val="0"/>
          <w:sz w:val="32"/>
          <w:szCs w:val="32"/>
        </w:rPr>
        <w:t>既有建筑的绿色</w:t>
      </w:r>
      <w:r>
        <w:rPr>
          <w:rFonts w:ascii="宋体" w:hAnsi="宋体" w:cs="宋体" w:eastAsia="仿宋_GB2312;仿宋"/>
          <w:kern w:val="0"/>
          <w:sz w:val="32"/>
          <w:szCs w:val="32"/>
        </w:rPr>
        <w:t>改造</w:t>
      </w:r>
      <w:r>
        <w:rPr>
          <w:rFonts w:ascii="宋体" w:hAnsi="宋体" w:cs="宋体" w:hint="eastAsia" w:eastAsia="仿宋_GB2312;仿宋"/>
          <w:kern w:val="0"/>
          <w:sz w:val="32"/>
          <w:szCs w:val="32"/>
        </w:rPr>
        <w:t>；</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仿宋_GB2312;仿宋"/>
          <w:kern w:val="0"/>
          <w:sz w:val="32"/>
          <w:szCs w:val="32"/>
        </w:rPr>
        <w:t>（四）绿色建筑相关标准制定。</w:t>
      </w:r>
    </w:p>
    <w:p>
      <w:pPr>
        <w:pStyle w:val="Normal"/>
        <w:keepNext w:val="false"/>
        <w:keepLines w:val="false"/>
        <w:pageBreakBefore w:val="false"/>
        <w:widowControl w:val="false"/>
        <w:shd w:fill="FFFFFF" w:val="clear"/>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黑体"/>
          <w:b w:val="false"/>
          <w:bCs/>
          <w:kern w:val="0"/>
          <w:sz w:val="32"/>
          <w:szCs w:val="32"/>
        </w:rPr>
        <w:t>第三十六条</w:t>
      </w:r>
      <w:r>
        <w:rPr>
          <w:rFonts w:ascii="宋体" w:hAnsi="宋体" w:cs="宋体" w:hint="eastAsia" w:eastAsia="黑体"/>
          <w:b/>
          <w:kern w:val="0"/>
          <w:sz w:val="32"/>
          <w:szCs w:val="32"/>
        </w:rPr>
        <w:t>　</w:t>
      </w:r>
      <w:r>
        <w:rPr>
          <w:rFonts w:ascii="宋体" w:hAnsi="宋体" w:cs="宋体" w:eastAsia="仿宋_GB2312;仿宋"/>
          <w:kern w:val="0"/>
          <w:sz w:val="32"/>
          <w:szCs w:val="32"/>
        </w:rPr>
        <w:t>建设、运营绿色建筑</w:t>
      </w:r>
      <w:r>
        <w:rPr>
          <w:rFonts w:ascii="宋体" w:hAnsi="宋体" w:cs="宋体" w:hint="eastAsia" w:eastAsia="仿宋_GB2312;仿宋"/>
          <w:kern w:val="0"/>
          <w:sz w:val="32"/>
          <w:szCs w:val="32"/>
        </w:rPr>
        <w:t>，</w:t>
      </w:r>
      <w:r>
        <w:rPr>
          <w:rFonts w:ascii="宋体" w:hAnsi="宋体" w:cs="宋体" w:eastAsia="仿宋_GB2312;仿宋"/>
          <w:kern w:val="0"/>
          <w:sz w:val="32"/>
          <w:szCs w:val="32"/>
        </w:rPr>
        <w:t>采用墙体保温技术</w:t>
      </w:r>
      <w:r>
        <w:rPr>
          <w:rFonts w:ascii="宋体" w:hAnsi="宋体" w:cs="宋体" w:hint="eastAsia" w:eastAsia="仿宋_GB2312;仿宋"/>
          <w:kern w:val="0"/>
          <w:sz w:val="32"/>
          <w:szCs w:val="32"/>
        </w:rPr>
        <w:t>的，</w:t>
      </w:r>
      <w:r>
        <w:rPr>
          <w:rFonts w:ascii="宋体" w:hAnsi="宋体" w:cs="宋体" w:eastAsia="仿宋_GB2312;仿宋"/>
          <w:kern w:val="0"/>
          <w:sz w:val="32"/>
          <w:szCs w:val="32"/>
        </w:rPr>
        <w:t>增加的建筑面积不计入容积率核算</w:t>
      </w:r>
      <w:r>
        <w:rPr>
          <w:rFonts w:ascii="宋体" w:hAnsi="宋体" w:cs="宋体" w:hint="eastAsia" w:eastAsia="仿宋_GB2312;仿宋"/>
          <w:kern w:val="0"/>
          <w:sz w:val="32"/>
          <w:szCs w:val="32"/>
        </w:rPr>
        <w:t>；按照装配式建筑标准建造的商品房项目，预制部品部件采购合同金额计入工程进度费用。</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kern w:val="0"/>
          <w:sz w:val="32"/>
          <w:szCs w:val="32"/>
          <w:bdr w:val="single" w:sz="4" w:space="0" w:color="000000"/>
        </w:rPr>
      </w:pPr>
      <w:r>
        <w:rPr>
          <w:rFonts w:ascii="宋体" w:hAnsi="宋体" w:cs="宋体" w:hint="eastAsia" w:eastAsia="黑体"/>
          <w:b w:val="false"/>
          <w:bCs/>
          <w:kern w:val="0"/>
          <w:sz w:val="32"/>
          <w:szCs w:val="32"/>
        </w:rPr>
        <w:t>第三十七条</w:t>
      </w:r>
      <w:r>
        <w:rPr>
          <w:rFonts w:ascii="宋体" w:hAnsi="宋体" w:cs="宋体" w:hint="eastAsia" w:eastAsia="黑体"/>
          <w:b/>
          <w:kern w:val="0"/>
          <w:sz w:val="32"/>
          <w:szCs w:val="32"/>
        </w:rPr>
        <w:t>　</w:t>
      </w:r>
      <w:r>
        <w:rPr>
          <w:rFonts w:ascii="仿宋" w:hAnsi="仿宋" w:cs="仿宋" w:hint="eastAsia" w:eastAsia="仿宋"/>
          <w:b w:val="false"/>
          <w:bCs/>
          <w:kern w:val="0"/>
          <w:sz w:val="32"/>
          <w:szCs w:val="32"/>
        </w:rPr>
        <w:t>城市</w:t>
      </w:r>
      <w:r>
        <w:rPr>
          <w:rFonts w:ascii="仿宋" w:hAnsi="仿宋" w:cs="仿宋" w:hint="eastAsia" w:eastAsia="仿宋"/>
          <w:kern w:val="0"/>
          <w:sz w:val="32"/>
          <w:szCs w:val="32"/>
        </w:rPr>
        <w:t>规划区内新建民用建筑，应当推进土地集约节约利用，积极开发利用地下空间。鼓励建设</w:t>
      </w:r>
      <w:r>
        <w:rPr>
          <w:rFonts w:ascii="宋体" w:hAnsi="宋体" w:cs="宋体" w:hint="eastAsia" w:eastAsia="仿宋_GB2312;仿宋"/>
          <w:kern w:val="0"/>
          <w:sz w:val="32"/>
          <w:szCs w:val="32"/>
        </w:rPr>
        <w:t>绿色交通、绿色照明、绿色市政等城市基础设施。</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仿宋" w:hAnsi="仿宋" w:eastAsia="仿宋" w:cs="仿宋" w:hint="eastAsia"/>
          <w:kern w:val="0"/>
          <w:sz w:val="32"/>
          <w:szCs w:val="32"/>
          <w:bdr w:val="single" w:sz="4" w:space="0" w:color="000000"/>
        </w:rPr>
      </w:pPr>
      <w:r>
        <w:rPr>
          <w:rFonts w:ascii="黑体" w:hAnsi="黑体" w:cs="黑体" w:hint="eastAsia" w:eastAsia="黑体"/>
          <w:kern w:val="0"/>
          <w:sz w:val="32"/>
          <w:szCs w:val="32"/>
        </w:rPr>
        <w:t xml:space="preserve">第三十八条   </w:t>
      </w:r>
      <w:r>
        <w:rPr>
          <w:rFonts w:ascii="仿宋" w:hAnsi="仿宋" w:cs="仿宋" w:hint="eastAsia" w:eastAsia="仿宋"/>
          <w:kern w:val="0"/>
          <w:sz w:val="32"/>
          <w:szCs w:val="32"/>
        </w:rPr>
        <w:t>鼓励新建居住建筑实施全装修。推进室内装修与建筑主体一体化设计、施工。</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黑体"/>
          <w:b w:val="false"/>
          <w:bCs/>
          <w:kern w:val="0"/>
          <w:sz w:val="32"/>
          <w:szCs w:val="32"/>
        </w:rPr>
        <w:t>第三十九条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鼓励工业园区、旅游集中服务区、生态园区、大型商业设施等能源负荷中心建设区域分布式能源系统或者楼宇分布式能源系统。</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仿宋_GB2312;仿宋"/>
          <w:kern w:val="0"/>
          <w:sz w:val="32"/>
          <w:szCs w:val="32"/>
        </w:rPr>
        <w:t>鼓励具备条件的建筑屋面安装分布式光伏发电系统。</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黑体"/>
          <w:b w:val="false"/>
          <w:bCs/>
          <w:kern w:val="0"/>
          <w:sz w:val="32"/>
          <w:szCs w:val="32"/>
        </w:rPr>
        <w:t>第四十条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鼓励企业和相关机构发展绿色建筑服务产业。</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b w:val="false"/>
          <w:bCs/>
          <w:kern w:val="0"/>
          <w:sz w:val="32"/>
          <w:szCs w:val="32"/>
        </w:rPr>
      </w:pPr>
      <w:r>
        <w:rPr>
          <w:rFonts w:eastAsia="黑体" w:cs="宋体" w:hint="eastAsia" w:ascii="黑体" w:hAnsi="黑体"/>
          <w:b w:val="false"/>
          <w:bCs/>
          <w:kern w:val="0"/>
          <w:sz w:val="32"/>
          <w:szCs w:val="32"/>
        </w:rPr>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b w:val="false"/>
          <w:bCs/>
          <w:kern w:val="0"/>
          <w:sz w:val="32"/>
          <w:szCs w:val="32"/>
        </w:rPr>
      </w:pPr>
      <w:r>
        <w:rPr>
          <w:rFonts w:ascii="黑体" w:hAnsi="黑体" w:cs="宋体" w:hint="eastAsia" w:eastAsia="黑体"/>
          <w:b w:val="false"/>
          <w:bCs/>
          <w:kern w:val="0"/>
          <w:sz w:val="32"/>
          <w:szCs w:val="32"/>
        </w:rPr>
        <w:t>　法律责任</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both"/>
        <w:textAlignment w:val="auto"/>
        <w:rPr>
          <w:rFonts w:ascii="黑体" w:hAnsi="黑体" w:eastAsia="黑体" w:cs="宋体" w:hint="eastAsia"/>
          <w:b w:val="false"/>
          <w:bCs/>
          <w:kern w:val="0"/>
          <w:sz w:val="32"/>
          <w:szCs w:val="32"/>
        </w:rPr>
      </w:pPr>
      <w:r>
        <w:rPr>
          <w:rFonts w:eastAsia="黑体" w:cs="宋体" w:hint="eastAsia" w:ascii="黑体" w:hAnsi="黑体"/>
          <w:b w:val="false"/>
          <w:bCs/>
          <w:kern w:val="0"/>
          <w:sz w:val="32"/>
          <w:szCs w:val="32"/>
        </w:rPr>
      </w:r>
    </w:p>
    <w:p>
      <w:pPr>
        <w:pStyle w:val="Normal"/>
        <w:keepNext w:val="false"/>
        <w:keepLines w:val="false"/>
        <w:pageBreakBefore w:val="false"/>
        <w:pBdr/>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ascii="宋体" w:hAnsi="宋体" w:cs="宋体" w:hint="eastAsia" w:eastAsia="黑体"/>
          <w:b w:val="false"/>
          <w:bCs/>
          <w:kern w:val="0"/>
          <w:sz w:val="32"/>
          <w:szCs w:val="32"/>
        </w:rPr>
        <w:t>第四十一条　</w:t>
      </w:r>
      <w:r>
        <w:rPr>
          <w:rFonts w:ascii="宋体" w:hAnsi="宋体" w:cs="宋体" w:eastAsia="仿宋_GB2312;仿宋"/>
          <w:kern w:val="0"/>
          <w:sz w:val="32"/>
          <w:szCs w:val="32"/>
        </w:rPr>
        <w:t>违反本条例规定的行为，法律、</w:t>
      </w:r>
      <w:r>
        <w:rPr>
          <w:rFonts w:ascii="仿宋" w:hAnsi="仿宋" w:cs="仿宋" w:hint="eastAsia" w:eastAsia="仿宋"/>
          <w:kern w:val="0"/>
          <w:sz w:val="32"/>
          <w:szCs w:val="32"/>
        </w:rPr>
        <w:t>行政法规已有处罚规定的，从其规定。</w:t>
      </w:r>
    </w:p>
    <w:p>
      <w:pPr>
        <w:pStyle w:val="Normal"/>
        <w:keepNext w:val="false"/>
        <w:keepLines w:val="false"/>
        <w:pageBreakBefore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ascii="宋体" w:hAnsi="宋体" w:cs="宋体" w:hint="eastAsia" w:eastAsia="黑体"/>
          <w:b w:val="false"/>
          <w:bCs/>
          <w:kern w:val="0"/>
          <w:sz w:val="32"/>
          <w:szCs w:val="32"/>
        </w:rPr>
        <w:t>第四十二条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违反本条例规定，建设单位有下列行为之一的，由</w:t>
      </w:r>
      <w:r>
        <w:rPr>
          <w:rFonts w:ascii="仿宋" w:hAnsi="仿宋" w:cs="仿宋" w:hint="eastAsia" w:eastAsia="仿宋"/>
          <w:kern w:val="0"/>
          <w:sz w:val="32"/>
          <w:szCs w:val="32"/>
        </w:rPr>
        <w:t>县级以上人民政府建设主管部门责令限期改正；逾期未改正的，处二十万元以上五十万元以下罚款：</w:t>
      </w:r>
    </w:p>
    <w:p>
      <w:pPr>
        <w:pStyle w:val="Normal"/>
        <w:keepNext w:val="false"/>
        <w:keepLines w:val="false"/>
        <w:pageBreakBefore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ascii="仿宋" w:hAnsi="仿宋" w:cs="仿宋" w:hint="eastAsia" w:eastAsia="仿宋"/>
          <w:kern w:val="0"/>
          <w:sz w:val="32"/>
          <w:szCs w:val="32"/>
        </w:rPr>
        <w:t>（一）明示或者暗示受委托单位降低绿色建筑标准的；</w:t>
      </w:r>
    </w:p>
    <w:p>
      <w:pPr>
        <w:pStyle w:val="Normal"/>
        <w:keepNext w:val="false"/>
        <w:keepLines w:val="false"/>
        <w:pageBreakBefore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ascii="仿宋" w:hAnsi="仿宋" w:cs="仿宋" w:hint="eastAsia" w:eastAsia="仿宋"/>
          <w:kern w:val="0"/>
          <w:sz w:val="32"/>
          <w:szCs w:val="32"/>
        </w:rPr>
        <w:t>（二）使用列入国家和自治区禁止使用目录的技术、工艺、材料和设备的；</w:t>
      </w:r>
    </w:p>
    <w:p>
      <w:pPr>
        <w:pStyle w:val="Normal"/>
        <w:keepNext w:val="false"/>
        <w:keepLines w:val="false"/>
        <w:pageBreakBefore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ascii="仿宋" w:hAnsi="仿宋" w:cs="仿宋" w:hint="eastAsia" w:eastAsia="仿宋"/>
          <w:kern w:val="0"/>
          <w:sz w:val="32"/>
          <w:szCs w:val="32"/>
        </w:rPr>
        <w:t>（三）对不符合绿色建筑标准的项目通过竣工验收的。</w:t>
      </w:r>
    </w:p>
    <w:p>
      <w:pPr>
        <w:pStyle w:val="Normal"/>
        <w:keepNext w:val="false"/>
        <w:keepLines w:val="false"/>
        <w:pageBreakBefore w:val="false"/>
        <w:kinsoku w:val="true"/>
        <w:overflowPunct w:val="true"/>
        <w:autoSpaceDE w:val="true"/>
        <w:bidi w:val="0"/>
        <w:snapToGrid w:val="false"/>
        <w:spacing w:lineRule="exact" w:line="62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黑体"/>
          <w:b w:val="false"/>
          <w:bCs/>
          <w:kern w:val="0"/>
          <w:sz w:val="32"/>
          <w:szCs w:val="32"/>
        </w:rPr>
        <w:t>第四十三条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违反本条例规定，设计单位未按照规定的绿色建筑等级标准设计，或者选用列入国家和自治区禁止使用目录的</w:t>
      </w:r>
      <w:r>
        <w:rPr>
          <w:rFonts w:ascii="宋体" w:hAnsi="宋体" w:cs="宋体" w:eastAsia="仿宋_GB2312;仿宋"/>
          <w:kern w:val="0"/>
          <w:sz w:val="32"/>
          <w:szCs w:val="32"/>
        </w:rPr>
        <w:t>技术、工艺、材料和设备</w:t>
      </w:r>
      <w:r>
        <w:rPr>
          <w:rFonts w:ascii="宋体" w:hAnsi="宋体" w:cs="宋体" w:hint="eastAsia" w:eastAsia="仿宋_GB2312;仿宋"/>
          <w:kern w:val="0"/>
          <w:sz w:val="32"/>
          <w:szCs w:val="32"/>
        </w:rPr>
        <w:t>的，</w:t>
      </w:r>
      <w:r>
        <w:rPr>
          <w:rFonts w:ascii="仿宋" w:hAnsi="仿宋" w:cs="仿宋" w:hint="eastAsia" w:eastAsia="仿宋"/>
          <w:kern w:val="0"/>
          <w:sz w:val="32"/>
          <w:szCs w:val="32"/>
        </w:rPr>
        <w:t>由县级以上人民政府建</w:t>
      </w:r>
      <w:r>
        <w:rPr>
          <w:rFonts w:ascii="宋体" w:hAnsi="宋体" w:cs="宋体" w:hint="eastAsia" w:eastAsia="仿宋_GB2312;仿宋"/>
          <w:kern w:val="0"/>
          <w:sz w:val="32"/>
          <w:szCs w:val="32"/>
        </w:rPr>
        <w:t>设主管部门责令限期改正；逾期未改正的，处</w:t>
      </w:r>
      <w:r>
        <w:rPr>
          <w:rFonts w:ascii="宋体" w:hAnsi="宋体" w:cs="宋体" w:eastAsia="仿宋_GB2312;仿宋"/>
          <w:kern w:val="0"/>
          <w:sz w:val="32"/>
          <w:szCs w:val="32"/>
        </w:rPr>
        <w:t>十万元以上</w:t>
      </w:r>
      <w:r>
        <w:rPr>
          <w:rFonts w:ascii="宋体" w:hAnsi="宋体" w:cs="宋体" w:hint="eastAsia" w:eastAsia="仿宋_GB2312;仿宋"/>
          <w:kern w:val="0"/>
          <w:sz w:val="32"/>
          <w:szCs w:val="32"/>
        </w:rPr>
        <w:t>三</w:t>
      </w:r>
      <w:r>
        <w:rPr>
          <w:rFonts w:ascii="宋体" w:hAnsi="宋体" w:cs="宋体" w:eastAsia="仿宋_GB2312;仿宋"/>
          <w:kern w:val="0"/>
          <w:sz w:val="32"/>
          <w:szCs w:val="32"/>
        </w:rPr>
        <w:t>十万元</w:t>
      </w:r>
      <w:r>
        <w:rPr>
          <w:rFonts w:ascii="宋体" w:hAnsi="宋体" w:cs="宋体" w:hint="eastAsia" w:eastAsia="仿宋_GB2312;仿宋"/>
          <w:kern w:val="0"/>
          <w:sz w:val="32"/>
          <w:szCs w:val="32"/>
        </w:rPr>
        <w:t>以下罚款</w:t>
      </w:r>
      <w:r>
        <w:rPr>
          <w:rFonts w:ascii="宋体" w:hAnsi="宋体" w:cs="宋体" w:eastAsia="仿宋_GB2312;仿宋"/>
          <w:kern w:val="0"/>
          <w:sz w:val="32"/>
          <w:szCs w:val="32"/>
        </w:rPr>
        <w:t>。</w:t>
      </w:r>
    </w:p>
    <w:p>
      <w:pPr>
        <w:pStyle w:val="Normal"/>
        <w:keepNext w:val="false"/>
        <w:keepLines w:val="false"/>
        <w:pageBreakBefore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ascii="宋体" w:hAnsi="宋体" w:cs="宋体" w:hint="eastAsia" w:eastAsia="黑体"/>
          <w:b w:val="false"/>
          <w:bCs/>
          <w:kern w:val="0"/>
          <w:sz w:val="32"/>
          <w:szCs w:val="32"/>
        </w:rPr>
        <w:t>第四十四条　</w:t>
      </w:r>
      <w:r>
        <w:rPr>
          <w:rFonts w:ascii="宋体" w:hAnsi="宋体" w:cs="宋体" w:hint="eastAsia" w:eastAsia="仿宋_GB2312;仿宋"/>
          <w:kern w:val="0"/>
          <w:sz w:val="32"/>
          <w:szCs w:val="32"/>
        </w:rPr>
        <w:t>违反本条例规定，施工单位有下列行为之一的，</w:t>
      </w:r>
      <w:r>
        <w:rPr>
          <w:rFonts w:ascii="仿宋" w:hAnsi="仿宋" w:cs="仿宋" w:hint="eastAsia" w:eastAsia="仿宋"/>
          <w:kern w:val="0"/>
          <w:sz w:val="32"/>
          <w:szCs w:val="32"/>
        </w:rPr>
        <w:t>由县级以上人民政府建设主管部门责令限期改正；逾期未改正的，处十万元以上二十万元以下罚款：</w:t>
      </w:r>
    </w:p>
    <w:p>
      <w:pPr>
        <w:pStyle w:val="Normal"/>
        <w:keepNext w:val="false"/>
        <w:keepLines w:val="false"/>
        <w:pageBreakBefore w:val="false"/>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ascii="仿宋" w:hAnsi="仿宋" w:cs="仿宋" w:hint="eastAsia" w:eastAsia="仿宋"/>
          <w:kern w:val="0"/>
          <w:sz w:val="32"/>
          <w:szCs w:val="32"/>
        </w:rPr>
        <w:t>（一）使用不符合施工图设计文件要求的建筑材料、构配件、设施设备的；</w:t>
      </w:r>
    </w:p>
    <w:p>
      <w:pPr>
        <w:pStyle w:val="Normal"/>
        <w:keepNext w:val="false"/>
        <w:keepLines w:val="false"/>
        <w:pageBreakBefore w:val="false"/>
        <w:kinsoku w:val="true"/>
        <w:overflowPunct w:val="true"/>
        <w:autoSpaceDE w:val="true"/>
        <w:bidi w:val="0"/>
        <w:snapToGrid w:val="false"/>
        <w:spacing w:lineRule="exact" w:line="62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仿宋_GB2312;仿宋"/>
          <w:kern w:val="0"/>
          <w:sz w:val="32"/>
          <w:szCs w:val="32"/>
        </w:rPr>
        <w:t>（二）使用列入国家和自治区禁止使用目录的</w:t>
      </w:r>
      <w:r>
        <w:rPr>
          <w:rFonts w:ascii="宋体" w:hAnsi="宋体" w:cs="宋体" w:eastAsia="仿宋_GB2312;仿宋"/>
          <w:kern w:val="0"/>
          <w:sz w:val="32"/>
          <w:szCs w:val="32"/>
        </w:rPr>
        <w:t>技术、工艺、材料和设备</w:t>
      </w:r>
      <w:r>
        <w:rPr>
          <w:rFonts w:ascii="宋体" w:hAnsi="宋体" w:cs="宋体" w:hint="eastAsia" w:eastAsia="仿宋_GB2312;仿宋"/>
          <w:kern w:val="0"/>
          <w:sz w:val="32"/>
          <w:szCs w:val="32"/>
        </w:rPr>
        <w:t>的；</w:t>
      </w:r>
    </w:p>
    <w:p>
      <w:pPr>
        <w:pStyle w:val="Normal"/>
        <w:keepNext w:val="false"/>
        <w:keepLines w:val="false"/>
        <w:pageBreakBefore w:val="false"/>
        <w:kinsoku w:val="true"/>
        <w:overflowPunct w:val="true"/>
        <w:autoSpaceDE w:val="true"/>
        <w:bidi w:val="0"/>
        <w:snapToGrid w:val="false"/>
        <w:spacing w:lineRule="exact" w:line="620"/>
        <w:ind w:firstLineChars="200" w:startChars="0" w:start="0" w:endChars="0" w:end="0"/>
        <w:jc w:val="both"/>
        <w:textAlignment w:val="auto"/>
        <w:rPr>
          <w:rFonts w:ascii="宋体" w:hAnsi="宋体" w:eastAsia="仿宋_GB2312;仿宋" w:cs="宋体"/>
          <w:kern w:val="0"/>
          <w:sz w:val="32"/>
          <w:szCs w:val="32"/>
        </w:rPr>
      </w:pPr>
      <w:r>
        <w:rPr>
          <w:rFonts w:ascii="宋体" w:hAnsi="宋体" w:cs="宋体" w:hint="eastAsia" w:eastAsia="仿宋_GB2312;仿宋"/>
          <w:kern w:val="0"/>
          <w:sz w:val="32"/>
          <w:szCs w:val="32"/>
        </w:rPr>
        <w:t>（三）未按照绿色施工方案施工的。</w:t>
      </w:r>
    </w:p>
    <w:p>
      <w:pPr>
        <w:pStyle w:val="Normal"/>
        <w:keepNext w:val="false"/>
        <w:keepLines w:val="false"/>
        <w:pageBreakBefore w:val="false"/>
        <w:widowControl/>
        <w:kinsoku w:val="true"/>
        <w:overflowPunct w:val="true"/>
        <w:autoSpaceDE w:val="true"/>
        <w:bidi w:val="0"/>
        <w:snapToGrid w:val="false"/>
        <w:spacing w:lineRule="exact" w:line="620"/>
        <w:ind w:firstLineChars="200" w:startChars="0" w:start="0" w:endChars="0" w:end="0"/>
        <w:jc w:val="both"/>
        <w:textAlignment w:val="auto"/>
        <w:rPr>
          <w:rFonts w:ascii="仿宋" w:hAnsi="仿宋" w:eastAsia="仿宋" w:cs="仿宋" w:hint="eastAsia"/>
          <w:kern w:val="0"/>
          <w:sz w:val="32"/>
          <w:szCs w:val="32"/>
        </w:rPr>
      </w:pPr>
      <w:r>
        <w:rPr>
          <w:rFonts w:ascii="宋体" w:hAnsi="宋体" w:cs="宋体" w:hint="eastAsia" w:eastAsia="黑体"/>
          <w:b w:val="false"/>
          <w:bCs/>
          <w:kern w:val="0"/>
          <w:sz w:val="32"/>
          <w:szCs w:val="32"/>
        </w:rPr>
        <w:t>第四十五条</w:t>
      </w:r>
      <w:r>
        <w:rPr>
          <w:rFonts w:ascii="宋体" w:hAnsi="宋体" w:cs="宋体" w:hint="eastAsia" w:eastAsia="黑体"/>
          <w:b/>
          <w:kern w:val="0"/>
          <w:sz w:val="32"/>
          <w:szCs w:val="32"/>
        </w:rPr>
        <w:t>　</w:t>
      </w:r>
      <w:r>
        <w:rPr>
          <w:rFonts w:ascii="仿宋" w:hAnsi="仿宋" w:cs="仿宋" w:hint="eastAsia" w:eastAsia="仿宋"/>
          <w:kern w:val="0"/>
          <w:sz w:val="32"/>
          <w:szCs w:val="32"/>
        </w:rPr>
        <w:t>违反本条例规定，监理单位未编制绿色建筑监理方案或者未按照绿色建筑监理方案实施监理的，由县级以上人民政府建设主管部门责令限期改正；逾期未改正的，处十万元以上三十万元以下罚款。</w:t>
      </w:r>
    </w:p>
    <w:p>
      <w:pPr>
        <w:pStyle w:val="Normal"/>
        <w:keepNext w:val="false"/>
        <w:keepLines w:val="false"/>
        <w:pageBreakBefore w:val="false"/>
        <w:kinsoku w:val="true"/>
        <w:overflowPunct w:val="true"/>
        <w:autoSpaceDE w:val="true"/>
        <w:bidi w:val="0"/>
        <w:snapToGrid w:val="false"/>
        <w:spacing w:lineRule="exact" w:line="62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黑体"/>
          <w:b w:val="false"/>
          <w:bCs/>
          <w:kern w:val="0"/>
          <w:sz w:val="32"/>
          <w:szCs w:val="32"/>
        </w:rPr>
        <w:t>第四十六条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违反本条例规定</w:t>
      </w:r>
      <w:r>
        <w:rPr>
          <w:rFonts w:ascii="仿宋" w:hAnsi="仿宋" w:cs="仿宋" w:hint="eastAsia" w:eastAsia="仿宋"/>
          <w:kern w:val="0"/>
          <w:sz w:val="32"/>
          <w:szCs w:val="32"/>
        </w:rPr>
        <w:t>，在商品房买卖合同、质量保证书、房屋使用说明书中未载明绿色建筑相关内容的，由县级以上人民政府建设主管部门责令限期改正；逾期未改正的，</w:t>
      </w:r>
      <w:r>
        <w:rPr>
          <w:rFonts w:ascii="宋体" w:hAnsi="宋体" w:cs="宋体" w:hint="eastAsia" w:eastAsia="仿宋_GB2312;仿宋"/>
          <w:kern w:val="0"/>
          <w:sz w:val="32"/>
          <w:szCs w:val="32"/>
        </w:rPr>
        <w:t>处</w:t>
      </w:r>
      <w:r>
        <w:rPr>
          <w:rFonts w:ascii="宋体" w:hAnsi="宋体" w:cs="宋体" w:eastAsia="仿宋_GB2312;仿宋"/>
          <w:kern w:val="0"/>
          <w:sz w:val="32"/>
          <w:szCs w:val="32"/>
        </w:rPr>
        <w:t>三万元以上五万元以下</w:t>
      </w:r>
      <w:r>
        <w:rPr>
          <w:rFonts w:ascii="宋体" w:hAnsi="宋体" w:cs="宋体" w:hint="eastAsia" w:eastAsia="仿宋_GB2312;仿宋"/>
          <w:kern w:val="0"/>
          <w:sz w:val="32"/>
          <w:szCs w:val="32"/>
        </w:rPr>
        <w:t>罚款。</w:t>
      </w:r>
    </w:p>
    <w:p>
      <w:pPr>
        <w:pStyle w:val="Normal"/>
        <w:keepNext w:val="false"/>
        <w:keepLines w:val="false"/>
        <w:pageBreakBefore w:val="false"/>
        <w:kinsoku w:val="true"/>
        <w:overflowPunct w:val="true"/>
        <w:autoSpaceDE w:val="true"/>
        <w:bidi w:val="0"/>
        <w:snapToGrid w:val="false"/>
        <w:spacing w:lineRule="exact" w:line="62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黑体"/>
          <w:b w:val="false"/>
          <w:bCs/>
          <w:kern w:val="0"/>
          <w:sz w:val="32"/>
          <w:szCs w:val="32"/>
        </w:rPr>
        <w:t>第四十七条</w:t>
      </w:r>
      <w:r>
        <w:rPr>
          <w:rFonts w:ascii="宋体" w:hAnsi="宋体" w:cs="宋体" w:hint="eastAsia" w:eastAsia="黑体"/>
          <w:b/>
          <w:kern w:val="0"/>
          <w:sz w:val="32"/>
          <w:szCs w:val="32"/>
        </w:rPr>
        <w:t>　</w:t>
      </w:r>
      <w:r>
        <w:rPr>
          <w:rFonts w:ascii="仿宋" w:hAnsi="仿宋" w:cs="仿宋" w:hint="eastAsia" w:eastAsia="仿宋"/>
          <w:b w:val="false"/>
          <w:bCs/>
          <w:kern w:val="0"/>
          <w:sz w:val="32"/>
          <w:szCs w:val="32"/>
        </w:rPr>
        <w:t>县级以上人民政府</w:t>
      </w:r>
      <w:r>
        <w:rPr>
          <w:rFonts w:ascii="宋体" w:hAnsi="宋体" w:cs="宋体" w:hint="eastAsia" w:eastAsia="仿宋_GB2312;仿宋"/>
          <w:kern w:val="0"/>
          <w:sz w:val="32"/>
          <w:szCs w:val="32"/>
        </w:rPr>
        <w:t>建设主管部门以及其他有关部门的工作人员，在绿色建筑发展工作中玩忽职守、滥用职权、徇私舞弊的，对直接负责的主管人员和其他直接责任人员依法给予处分；构成犯罪的，依法追究刑事责任。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b w:val="false"/>
          <w:bCs/>
          <w:kern w:val="0"/>
          <w:sz w:val="32"/>
          <w:szCs w:val="32"/>
        </w:rPr>
      </w:pPr>
      <w:r>
        <w:rPr>
          <w:rFonts w:eastAsia="黑体" w:cs="宋体" w:hint="eastAsia" w:ascii="黑体" w:hAnsi="黑体"/>
          <w:b w:val="false"/>
          <w:bCs/>
          <w:kern w:val="0"/>
          <w:sz w:val="32"/>
          <w:szCs w:val="32"/>
        </w:rPr>
      </w:r>
    </w:p>
    <w:p>
      <w:pPr>
        <w:pStyle w:val="Normal"/>
        <w:keepNext w:val="false"/>
        <w:keepLines w:val="false"/>
        <w:pageBreakBefore w:val="false"/>
        <w:widowControl w:val="false"/>
        <w:numPr>
          <w:ilvl w:val="0"/>
          <w:numId w:val="4"/>
        </w:numPr>
        <w:kinsoku w:val="true"/>
        <w:overflowPunct w:val="true"/>
        <w:autoSpaceDE w:val="true"/>
        <w:bidi w:val="0"/>
        <w:snapToGrid w:val="false"/>
        <w:spacing w:lineRule="auto" w:line="240"/>
        <w:ind w:firstLineChars="0" w:firstLine="0" w:startChars="0" w:start="0" w:endChars="0" w:end="0"/>
        <w:jc w:val="center"/>
        <w:textAlignment w:val="auto"/>
        <w:rPr>
          <w:rFonts w:ascii="黑体" w:hAnsi="黑体" w:eastAsia="黑体" w:cs="宋体" w:hint="eastAsia"/>
          <w:b w:val="false"/>
          <w:bCs/>
          <w:kern w:val="0"/>
          <w:sz w:val="32"/>
          <w:szCs w:val="32"/>
        </w:rPr>
      </w:pPr>
      <w:r>
        <w:rPr>
          <w:rFonts w:ascii="黑体" w:hAnsi="黑体" w:cs="宋体" w:hint="eastAsia" w:eastAsia="黑体"/>
          <w:b w:val="false"/>
          <w:bCs/>
          <w:kern w:val="0"/>
          <w:sz w:val="32"/>
          <w:szCs w:val="32"/>
        </w:rPr>
        <w:t>　附  则</w:t>
      </w:r>
    </w:p>
    <w:p>
      <w:pPr>
        <w:pStyle w:val="Normal"/>
        <w:keepNext w:val="false"/>
        <w:keepLines w:val="false"/>
        <w:pageBreakBefore w:val="false"/>
        <w:widowControl w:val="false"/>
        <w:numPr>
          <w:ilvl w:val="0"/>
          <w:numId w:val="0"/>
        </w:numPr>
        <w:kinsoku w:val="true"/>
        <w:overflowPunct w:val="true"/>
        <w:autoSpaceDE w:val="true"/>
        <w:bidi w:val="0"/>
        <w:snapToGrid w:val="false"/>
        <w:spacing w:lineRule="auto" w:line="240"/>
        <w:ind w:firstLineChars="0" w:firstLine="0" w:startChars="0" w:start="0" w:endChars="0" w:end="0"/>
        <w:jc w:val="both"/>
        <w:textAlignment w:val="auto"/>
        <w:rPr>
          <w:rFonts w:ascii="黑体" w:hAnsi="黑体" w:eastAsia="黑体" w:cs="宋体" w:hint="eastAsia"/>
          <w:b w:val="false"/>
          <w:bCs/>
          <w:kern w:val="0"/>
          <w:sz w:val="32"/>
          <w:szCs w:val="32"/>
        </w:rPr>
      </w:pPr>
      <w:r>
        <w:rPr>
          <w:rFonts w:eastAsia="黑体" w:cs="宋体" w:hint="eastAsia" w:ascii="黑体" w:hAnsi="黑体"/>
          <w:b w:val="false"/>
          <w:bCs/>
          <w:kern w:val="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黑体"/>
          <w:b w:val="false"/>
          <w:bCs/>
          <w:kern w:val="0"/>
          <w:sz w:val="32"/>
          <w:szCs w:val="32"/>
        </w:rPr>
        <w:t>第四十八条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工业</w:t>
      </w:r>
      <w:r>
        <w:rPr>
          <w:rFonts w:ascii="宋体" w:hAnsi="宋体" w:cs="宋体" w:eastAsia="仿宋_GB2312;仿宋"/>
          <w:kern w:val="0"/>
          <w:sz w:val="32"/>
          <w:szCs w:val="32"/>
        </w:rPr>
        <w:t>建筑</w:t>
      </w:r>
      <w:r>
        <w:rPr>
          <w:rFonts w:ascii="宋体" w:hAnsi="宋体" w:cs="宋体" w:hint="eastAsia" w:eastAsia="仿宋_GB2312;仿宋"/>
          <w:kern w:val="0"/>
          <w:sz w:val="32"/>
          <w:szCs w:val="32"/>
        </w:rPr>
        <w:t>和城市总体规划确定的建设用地范围以外</w:t>
      </w:r>
      <w:r>
        <w:rPr>
          <w:rFonts w:ascii="宋体" w:hAnsi="宋体" w:cs="宋体" w:eastAsia="仿宋_GB2312;仿宋"/>
          <w:kern w:val="0"/>
          <w:sz w:val="32"/>
          <w:szCs w:val="32"/>
        </w:rPr>
        <w:t>的其他</w:t>
      </w:r>
      <w:r>
        <w:rPr>
          <w:rFonts w:ascii="宋体" w:hAnsi="宋体" w:cs="宋体" w:hint="eastAsia" w:eastAsia="仿宋_GB2312;仿宋"/>
          <w:kern w:val="0"/>
          <w:sz w:val="32"/>
          <w:szCs w:val="32"/>
        </w:rPr>
        <w:t>民用</w:t>
      </w:r>
      <w:r>
        <w:rPr>
          <w:rFonts w:ascii="宋体" w:hAnsi="宋体" w:cs="宋体" w:eastAsia="仿宋_GB2312;仿宋"/>
          <w:kern w:val="0"/>
          <w:sz w:val="32"/>
          <w:szCs w:val="32"/>
        </w:rPr>
        <w:t>建筑</w:t>
      </w:r>
      <w:r>
        <w:rPr>
          <w:rFonts w:ascii="宋体" w:hAnsi="宋体" w:cs="宋体" w:hint="eastAsia" w:eastAsia="仿宋_GB2312;仿宋"/>
          <w:kern w:val="0"/>
          <w:sz w:val="32"/>
          <w:szCs w:val="32"/>
        </w:rPr>
        <w:t>，可以参照本条例规定</w:t>
      </w:r>
      <w:r>
        <w:rPr>
          <w:rFonts w:ascii="宋体" w:hAnsi="宋体" w:cs="宋体" w:eastAsia="仿宋_GB2312;仿宋"/>
          <w:kern w:val="0"/>
          <w:sz w:val="32"/>
          <w:szCs w:val="32"/>
        </w:rPr>
        <w:t>进行建设</w:t>
      </w:r>
      <w:r>
        <w:rPr>
          <w:rFonts w:ascii="宋体" w:hAnsi="宋体" w:cs="宋体" w:hint="eastAsia" w:eastAsia="仿宋_GB2312;仿宋"/>
          <w:kern w:val="0"/>
          <w:sz w:val="32"/>
          <w:szCs w:val="32"/>
        </w:rPr>
        <w:t>和运营</w:t>
      </w:r>
      <w:r>
        <w:rPr>
          <w:rFonts w:ascii="宋体" w:hAnsi="宋体" w:cs="宋体" w:eastAsia="仿宋_GB2312;仿宋"/>
          <w:kern w:val="0"/>
          <w:sz w:val="32"/>
          <w:szCs w:val="32"/>
        </w:rPr>
        <w:t>。</w:t>
      </w:r>
    </w:p>
    <w:p>
      <w:pPr>
        <w:pStyle w:val="Normal"/>
        <w:keepNext w:val="false"/>
        <w:keepLines w:val="false"/>
        <w:pageBreakBefore w:val="false"/>
        <w:widowControl w:val="false"/>
        <w:kinsoku w:val="true"/>
        <w:overflowPunct w:val="true"/>
        <w:autoSpaceDE w:val="true"/>
        <w:bidi w:val="0"/>
        <w:snapToGrid w:val="false"/>
        <w:spacing w:lineRule="exact" w:line="600"/>
        <w:ind w:firstLineChars="200" w:startChars="0" w:start="0" w:endChars="0" w:end="0"/>
        <w:jc w:val="both"/>
        <w:textAlignment w:val="auto"/>
        <w:rPr>
          <w:rFonts w:ascii="宋体" w:hAnsi="宋体" w:eastAsia="仿宋_GB2312;仿宋" w:cs="宋体" w:hint="eastAsia"/>
          <w:kern w:val="0"/>
          <w:sz w:val="32"/>
          <w:szCs w:val="32"/>
        </w:rPr>
      </w:pPr>
      <w:r>
        <w:rPr>
          <w:rFonts w:ascii="宋体" w:hAnsi="宋体" w:cs="宋体" w:hint="eastAsia" w:eastAsia="黑体"/>
          <w:b w:val="false"/>
          <w:bCs/>
          <w:kern w:val="0"/>
          <w:sz w:val="32"/>
          <w:szCs w:val="32"/>
        </w:rPr>
        <w:t>第四十九条</w:t>
      </w:r>
      <w:r>
        <w:rPr>
          <w:rFonts w:ascii="宋体" w:hAnsi="宋体" w:cs="宋体" w:hint="eastAsia" w:eastAsia="黑体"/>
          <w:b/>
          <w:kern w:val="0"/>
          <w:sz w:val="32"/>
          <w:szCs w:val="32"/>
        </w:rPr>
        <w:t>　</w:t>
      </w:r>
      <w:r>
        <w:rPr>
          <w:rFonts w:ascii="宋体" w:hAnsi="宋体" w:cs="宋体" w:hint="eastAsia" w:eastAsia="仿宋_GB2312;仿宋"/>
          <w:kern w:val="0"/>
          <w:sz w:val="32"/>
          <w:szCs w:val="32"/>
        </w:rPr>
        <w:t>本条例自</w:t>
      </w:r>
      <w:r>
        <w:rPr>
          <w:rFonts w:eastAsia="仿宋_GB2312;仿宋" w:cs="宋体" w:hint="eastAsia" w:ascii="宋体" w:hAnsi="宋体"/>
          <w:kern w:val="0"/>
          <w:sz w:val="32"/>
          <w:szCs w:val="32"/>
        </w:rPr>
        <w:t>2018</w:t>
      </w:r>
      <w:r>
        <w:rPr>
          <w:rFonts w:ascii="宋体" w:hAnsi="宋体" w:cs="宋体" w:hint="eastAsia" w:eastAsia="仿宋_GB2312;仿宋"/>
          <w:kern w:val="0"/>
          <w:sz w:val="32"/>
          <w:szCs w:val="32"/>
        </w:rPr>
        <w:t>年</w:t>
      </w:r>
      <w:r>
        <w:rPr>
          <w:rFonts w:eastAsia="仿宋_GB2312;仿宋" w:cs="宋体" w:hint="eastAsia" w:ascii="宋体" w:hAnsi="宋体"/>
          <w:kern w:val="0"/>
          <w:sz w:val="32"/>
          <w:szCs w:val="32"/>
        </w:rPr>
        <w:t>9</w:t>
      </w:r>
      <w:r>
        <w:rPr>
          <w:rFonts w:ascii="宋体" w:hAnsi="宋体" w:cs="宋体" w:hint="eastAsia" w:eastAsia="仿宋_GB2312;仿宋"/>
          <w:kern w:val="0"/>
          <w:sz w:val="32"/>
          <w:szCs w:val="32"/>
        </w:rPr>
        <w:t>月</w:t>
      </w:r>
      <w:r>
        <w:rPr>
          <w:rFonts w:eastAsia="仿宋_GB2312;仿宋" w:cs="宋体" w:hint="eastAsia" w:ascii="宋体" w:hAnsi="宋体"/>
          <w:kern w:val="0"/>
          <w:sz w:val="32"/>
          <w:szCs w:val="32"/>
        </w:rPr>
        <w:t>1</w:t>
      </w:r>
      <w:r>
        <w:rPr>
          <w:rFonts w:ascii="宋体" w:hAnsi="宋体" w:cs="宋体" w:hint="eastAsia" w:eastAsia="仿宋_GB2312;仿宋"/>
          <w:kern w:val="0"/>
          <w:sz w:val="32"/>
          <w:szCs w:val="32"/>
        </w:rPr>
        <w:t>日起施行。</w:t>
      </w:r>
    </w:p>
    <w:p>
      <w:pPr>
        <w:pStyle w:val="Normal"/>
        <w:rPr>
          <w:rFonts w:ascii="宋体" w:hAnsi="宋体" w:eastAsia="仿宋_GB2312;仿宋" w:cs="宋体" w:hint="eastAsia"/>
          <w:kern w:val="0"/>
          <w:sz w:val="32"/>
          <w:szCs w:val="32"/>
        </w:rPr>
      </w:pPr>
      <w:r>
        <w:rPr>
          <w:rFonts w:eastAsia="仿宋_GB2312;仿宋" w:cs="宋体" w:hint="eastAsia" w:ascii="宋体" w:hAnsi="宋体"/>
          <w:kern w:val="0"/>
          <w:sz w:val="32"/>
          <w:szCs w:val="32"/>
        </w:rPr>
      </w:r>
    </w:p>
    <w:p>
      <w:pPr>
        <w:pStyle w:val="Normal"/>
        <w:rPr/>
      </w:pPr>
      <w:r>
        <w:rPr/>
      </w:r>
    </w:p>
    <w:p>
      <w:pPr>
        <w:pStyle w:val="Normal"/>
        <w:rPr/>
      </w:pPr>
      <w:r>
        <w:rPr/>
      </w:r>
    </w:p>
    <w:p>
      <w:pPr>
        <w:pStyle w:val="Normal"/>
        <w:rPr/>
      </w:pPr>
      <w:r>
        <w:rPr/>
      </w:r>
    </w:p>
    <w:sectPr>
      <w:footerReference w:type="default" r:id="rId2"/>
      <w:type w:val="nextPage"/>
      <w:pgSz w:w="11906" w:h="16838"/>
      <w:pgMar w:left="1587" w:right="1587" w:gutter="0" w:header="0" w:top="1984" w:footer="1247" w:bottom="1474"/>
      <w:pgNumType w:fmt="decimal"/>
      <w:formProt w:val="false"/>
      <w:textDirection w:val="lrTb"/>
      <w:docGrid w:type="lines" w:linePitch="318"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charset w:val="86"/>
    <w:family w:val="auto"/>
    <w:pitch w:val="default"/>
  </w:font>
  <w:font w:name="楷体">
    <w:charset w:val="86"/>
    <w:family w:val="modern"/>
    <w:pitch w:val="default"/>
  </w:font>
  <w:font w:name="黑体">
    <w:charset w:val="86"/>
    <w:family w:val="auto"/>
    <w:pitch w:val="default"/>
  </w:font>
  <w:font w:name="楷体_GB2312">
    <w:altName w:val="楷体"/>
    <w:charset w:val="86"/>
    <w:family w:val="modern"/>
    <w:pitch w:val="default"/>
  </w:font>
  <w:font w:name="方正大标宋简体">
    <w:altName w:val="微软雅黑"/>
    <w:charset w:val="86"/>
    <w:family w:val="auto"/>
    <w:pitch w:val="default"/>
  </w:font>
  <w:font w:name="宋体">
    <w:charset w:val="86"/>
    <w:family w:val="auto"/>
    <w:pitch w:val="default"/>
  </w:font>
  <w:font w:name="仿宋">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2"/>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2"/>
      <w:numFmt w:val="chineseCountingThousand"/>
      <w:suff w:val="nothing"/>
      <w:lvlText w:val="（%1）"/>
      <w:lvlJc w:val="start"/>
      <w:pPr>
        <w:tabs>
          <w:tab w:val="num" w:pos="0"/>
        </w:tabs>
        <w:ind w:start="0" w:hanging="0"/>
      </w:pPr>
      <w:rPr>
        <w:rFonts w:hint="eastAsia"/>
      </w:rPr>
    </w:lvl>
  </w:abstractNum>
  <w:abstractNum w:abstractNumId="2">
    <w:lvl w:ilvl="0">
      <w:start w:val="1"/>
      <w:numFmt w:val="taiwaneseCountingThousand"/>
      <w:suff w:val="space"/>
      <w:lvlText w:val="第%1章"/>
      <w:lvlJc w:val="start"/>
      <w:pPr>
        <w:tabs>
          <w:tab w:val="num" w:pos="0"/>
        </w:tabs>
        <w:ind w:start="0" w:hanging="0"/>
      </w:pPr>
    </w:lvl>
  </w:abstractNum>
  <w:abstractNum w:abstractNumId="3">
    <w:lvl w:ilvl="0">
      <w:start w:val="1"/>
      <w:numFmt w:val="taiwaneseCountingThousand"/>
      <w:suff w:val="nothing"/>
      <w:lvlText w:val="第%1章"/>
      <w:lvlJc w:val="start"/>
      <w:pPr>
        <w:tabs>
          <w:tab w:val="num" w:pos="0"/>
        </w:tabs>
        <w:ind w:start="0" w:hanging="0"/>
      </w:pPr>
    </w:lvl>
  </w:abstractNum>
  <w:abstractNum w:abstractNumId="4">
    <w:lvl w:ilvl="0">
      <w:start w:val="4"/>
      <w:numFmt w:val="taiwaneseCountingThousand"/>
      <w:suff w:val="nothing"/>
      <w:lvlText w:val="第%1章"/>
      <w:lvlJc w:val="start"/>
      <w:pPr>
        <w:tabs>
          <w:tab w:val="num" w:pos="0"/>
        </w:tabs>
        <w:ind w:start="0" w:hanging="0"/>
      </w:p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WW8Num1z0">
    <w:name w:val="WW8Num1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1">
    <w:name w:val="列出段落1"/>
    <w:basedOn w:val="Normal"/>
    <w:qFormat/>
    <w:pPr>
      <w:ind w:firstLineChars="200" w:startChars="0" w:start="0" w:endChars="0" w:end="0"/>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Administrator</cp:lastModifiedBy>
  <dcterms:modified xsi:type="dcterms:W3CDTF">2018-07-27T12:06:31Z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