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jc w:val="center"/>
        <w:textAlignment w:val="auto"/>
        <w:rPr>
          <w:rFonts w:ascii="方正小标宋简体" w:hAnsi="方正小标宋简体" w:eastAsia="方正小标宋简体" w:cs="方正小标宋简体" w:hint="eastAsia"/>
          <w:spacing w:val="20"/>
          <w:w w:val="103"/>
          <w:kern w:val="0"/>
          <w:sz w:val="44"/>
          <w:szCs w:val="44"/>
        </w:rPr>
      </w:pPr>
      <w:r>
        <w:rPr>
          <w:rFonts w:ascii="方正小标宋简体" w:hAnsi="方正小标宋简体" w:cs="方正小标宋简体" w:hint="eastAsia" w:eastAsia="方正小标宋简体"/>
          <w:sz w:val="44"/>
          <w:szCs w:val="44"/>
        </w:rPr>
        <w:t>黑龙江省人民代表大会常务委员会</w:t>
      </w:r>
      <w:r>
        <w:rPr>
          <w:rFonts w:ascii="方正小标宋简体" w:hAnsi="方正小标宋简体" w:cs="方正小标宋简体" w:hint="eastAsia" w:eastAsia="方正小标宋简体"/>
          <w:spacing w:val="20"/>
          <w:w w:val="103"/>
          <w:kern w:val="0"/>
          <w:sz w:val="44"/>
          <w:szCs w:val="44"/>
        </w:rPr>
        <w:t>关于</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jc w:val="center"/>
        <w:textAlignment w:val="auto"/>
        <w:rPr>
          <w:rFonts w:ascii="方正小标宋简体" w:hAnsi="方正小标宋简体" w:eastAsia="方正小标宋简体" w:cs="方正小标宋简体" w:hint="eastAsia"/>
          <w:kern w:val="2"/>
          <w:sz w:val="44"/>
          <w:szCs w:val="44"/>
        </w:rPr>
      </w:pPr>
      <w:r>
        <w:rPr>
          <w:rFonts w:ascii="方正小标宋简体" w:hAnsi="方正小标宋简体" w:cs="方正小标宋简体" w:hint="eastAsia" w:eastAsia="方正小标宋简体"/>
          <w:spacing w:val="20"/>
          <w:w w:val="103"/>
          <w:kern w:val="0"/>
          <w:sz w:val="44"/>
          <w:szCs w:val="44"/>
        </w:rPr>
        <w:t>实施资源税法授权事项的决定</w:t>
      </w:r>
    </w:p>
    <w:p>
      <w:pPr>
        <w:pStyle w:val="New"/>
        <w:widowControl/>
        <w:shd w:fill="FFFFFF" w:val="clear"/>
        <w:snapToGrid w:val="false"/>
        <w:spacing w:lineRule="exact" w:line="560"/>
        <w:jc w:val="center"/>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t>(2020</w:t>
      </w:r>
      <w:r>
        <w:rPr>
          <w:rFonts w:ascii="仿宋_GB2312" w:hAnsi="仿宋_GB2312" w:cs="仿宋_GB2312" w:hint="eastAsia" w:eastAsia="仿宋_GB2312"/>
          <w:sz w:val="32"/>
          <w:szCs w:val="32"/>
          <w:u w:val="none"/>
        </w:rPr>
        <w:t>年</w:t>
      </w:r>
      <w:r>
        <w:rPr>
          <w:rFonts w:eastAsia="仿宋_GB2312" w:cs="仿宋_GB2312" w:hint="eastAsia" w:ascii="仿宋_GB2312" w:hAnsi="仿宋_GB2312"/>
          <w:sz w:val="32"/>
          <w:szCs w:val="32"/>
          <w:u w:val="none"/>
        </w:rPr>
        <w:t>8</w:t>
      </w:r>
      <w:r>
        <w:rPr>
          <w:rFonts w:ascii="仿宋_GB2312" w:hAnsi="仿宋_GB2312" w:cs="仿宋_GB2312" w:hint="eastAsia" w:eastAsia="仿宋_GB2312"/>
          <w:sz w:val="32"/>
          <w:szCs w:val="32"/>
          <w:u w:val="none"/>
        </w:rPr>
        <w:t>月</w:t>
      </w:r>
      <w:r>
        <w:rPr>
          <w:rFonts w:eastAsia="仿宋_GB2312" w:cs="仿宋_GB2312" w:hint="eastAsia" w:ascii="仿宋_GB2312" w:hAnsi="仿宋_GB2312"/>
          <w:sz w:val="32"/>
          <w:szCs w:val="32"/>
          <w:u w:val="none"/>
        </w:rPr>
        <w:t>21</w:t>
      </w:r>
      <w:r>
        <w:rPr>
          <w:rFonts w:ascii="仿宋_GB2312" w:hAnsi="仿宋_GB2312" w:cs="仿宋_GB2312" w:hint="eastAsia" w:eastAsia="仿宋_GB2312"/>
          <w:sz w:val="32"/>
          <w:szCs w:val="32"/>
          <w:u w:val="none"/>
        </w:rPr>
        <w:t>日黑龙江省第十三届人民代表大会常务委员会</w:t>
      </w:r>
    </w:p>
    <w:p>
      <w:pPr>
        <w:pStyle w:val="New"/>
        <w:widowControl/>
        <w:shd w:fill="FFFFFF" w:val="clear"/>
        <w:snapToGrid w:val="false"/>
        <w:spacing w:lineRule="exact" w:line="560"/>
        <w:jc w:val="center"/>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第二十次会议通过</w:t>
      </w:r>
      <w:r>
        <w:rPr>
          <w:rFonts w:eastAsia="仿宋_GB2312" w:cs="仿宋_GB2312" w:hint="eastAsia" w:ascii="仿宋_GB2312" w:hAnsi="仿宋_GB2312"/>
          <w:sz w:val="32"/>
          <w:szCs w:val="32"/>
          <w:u w:val="none"/>
        </w:rPr>
        <w:t>)</w:t>
      </w:r>
    </w:p>
    <w:p>
      <w:pPr>
        <w:pStyle w:val="New"/>
        <w:widowControl/>
        <w:shd w:fill="FFFFFF" w:val="clear"/>
        <w:snapToGrid w:val="false"/>
        <w:spacing w:lineRule="exact" w:line="560"/>
        <w:jc w:val="center"/>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为了促进资源节约集约利用、加强生态环境保护，根据《中华人民共和国资源税法》（以下简称《资源税法》）有关授权规定，统筹考虑本省应税资源品位、开采条件以及对生态环境和经济发展影响等情况，现就本省相关资源税的具体适用税率、计征方式以及免征或者减征的具体办法作如下决定：</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一、《资源税法》规定实行幅度税率的税目，具体适用税率依照本决定所附《黑龙江省资源税税目税率表》执行。</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二、《资源税法》规定可以选择实行从价计征或者从量计征的税目中，石灰岩、矿泉水、天然卤水资源税实行从价计征，地热、其他粘土、砂石资源税实行从量计征。</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三、符合《资源税法》第七条规定情形的，按照以下办法免征或者减征资源税：</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（一）纳税人开采或者生产应税产品过程中，因意外事故或者自然灾害等原因遭受重大损失，直接经济损失</w:t>
      </w:r>
      <w:r>
        <w:rPr>
          <w:rFonts w:ascii="仿宋_GB2312" w:hAnsi="仿宋_GB2312" w:cs="仿宋" w:hint="eastAsia" w:eastAsia="仿宋_GB2312"/>
          <w:color w:val="000000"/>
          <w:kern w:val="0"/>
          <w:sz w:val="32"/>
          <w:szCs w:val="32"/>
        </w:rPr>
        <w:t>五千</w:t>
      </w:r>
      <w:r>
        <w:rPr>
          <w:rFonts w:ascii="仿宋_GB2312" w:hAnsi="仿宋_GB2312" w:cs="仿宋_GB2312" w:hint="eastAsia" w:eastAsia="仿宋_GB2312"/>
          <w:color w:val="000000"/>
          <w:kern w:val="0"/>
          <w:sz w:val="32"/>
          <w:szCs w:val="32"/>
        </w:rPr>
        <w:t>万元以上或者达到上年度资产总额百分之五十以上的，自恢复生产之日起五年内，减按百分之五十征收资源税，最高累计减征资源税额度不超过直接经济损失的百分之五十，并且不超过</w:t>
      </w:r>
      <w:r>
        <w:rPr>
          <w:rFonts w:ascii="仿宋_GB2312" w:hAnsi="仿宋_GB2312" w:cs="仿宋" w:hint="eastAsia" w:eastAsia="仿宋_GB2312"/>
          <w:color w:val="000000"/>
          <w:kern w:val="0"/>
          <w:sz w:val="32"/>
          <w:szCs w:val="32"/>
        </w:rPr>
        <w:t>五千</w:t>
      </w:r>
      <w:r>
        <w:rPr>
          <w:rFonts w:ascii="仿宋_GB2312" w:hAnsi="仿宋_GB2312" w:cs="仿宋_GB2312" w:hint="eastAsia" w:eastAsia="仿宋_GB2312"/>
          <w:color w:val="000000"/>
          <w:kern w:val="0"/>
          <w:sz w:val="32"/>
          <w:szCs w:val="32"/>
        </w:rPr>
        <w:t>万元。</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kern w:val="0"/>
          <w:sz w:val="32"/>
          <w:szCs w:val="32"/>
        </w:rPr>
        <w:t>（二）</w:t>
      </w:r>
      <w:r>
        <w:rPr>
          <w:rFonts w:ascii="仿宋_GB2312" w:hAnsi="仿宋_GB2312" w:cs="仿宋_GB2312" w:hint="eastAsia" w:eastAsia="仿宋_GB2312"/>
          <w:color w:val="000000"/>
          <w:sz w:val="32"/>
          <w:szCs w:val="32"/>
          <w:u w:val="none"/>
        </w:rPr>
        <w:t>纳税人开采共伴生矿、低品位矿减按百分之五十征收资源税，开采尾矿免征资源税。</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（三）纳税人开采销售的应税矿产品（同一笔销售业务）同时符合共伴生矿、低品位矿减税政策的，纳税人可以选择享受其中一项优惠政策，不得叠加适用，国家另有规定的除外。</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（四）共伴生矿、低品位矿、尾矿的减免税政策不适用于原油、天然气、煤炭，上述资源有关优惠政策按照国家相关规定执行。</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纳税人符合上述规定的，可申报享受税收优惠政策，并将相关材料留存备查。</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宋体" w:hint="eastAsia"/>
          <w:color w:val="000000"/>
          <w:kern w:val="0"/>
          <w:sz w:val="32"/>
          <w:szCs w:val="32"/>
        </w:rPr>
      </w:pPr>
      <w:r>
        <w:rPr>
          <w:rFonts w:ascii="仿宋_GB2312" w:hAnsi="仿宋_GB2312" w:cs="仿宋_GB2312" w:hint="eastAsia" w:eastAsia="仿宋_GB2312"/>
          <w:color w:val="000000"/>
          <w:kern w:val="0"/>
          <w:sz w:val="32"/>
          <w:szCs w:val="32"/>
        </w:rPr>
        <w:t>四、税务机关与自然资源、应急管理等相关部门应当建立工作配合机制，共同加强资源税征收管理。</w:t>
      </w:r>
      <w:r>
        <w:rPr>
          <w:rFonts w:ascii="仿宋_GB2312" w:hAnsi="仿宋_GB2312" w:cs="宋体" w:hint="eastAsia" w:eastAsia="仿宋_GB2312"/>
          <w:color w:val="000000"/>
          <w:kern w:val="0"/>
          <w:sz w:val="32"/>
          <w:szCs w:val="32"/>
        </w:rPr>
        <w:t>根据工作需要，税务机关可以要求自然资源、应急管理等相关部门提供与减免税相关的信息，相关部门应当在税务机关送达书面函件的十五个工作日内给予回复。</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五、本决定自</w:t>
      </w:r>
      <w:r>
        <w:rPr>
          <w:rFonts w:eastAsia="仿宋_GB2312" w:cs="仿宋" w:hint="eastAsia" w:ascii="仿宋_GB2312" w:hAnsi="仿宋_GB2312"/>
          <w:color w:val="000000"/>
          <w:kern w:val="0"/>
          <w:sz w:val="32"/>
          <w:szCs w:val="32"/>
        </w:rPr>
        <w:t>2020</w:t>
      </w:r>
      <w:r>
        <w:rPr>
          <w:rFonts w:ascii="仿宋_GB2312" w:hAnsi="仿宋_GB2312" w:cs="仿宋_GB2312" w:hint="eastAsia" w:eastAsia="仿宋_GB2312"/>
          <w:color w:val="000000"/>
          <w:kern w:val="0"/>
          <w:sz w:val="32"/>
          <w:szCs w:val="32"/>
        </w:rPr>
        <w:t>年</w:t>
      </w:r>
      <w:r>
        <w:rPr>
          <w:rFonts w:eastAsia="仿宋_GB2312" w:cs="仿宋" w:hint="eastAsia" w:ascii="仿宋_GB2312" w:hAnsi="仿宋_GB2312"/>
          <w:color w:val="000000"/>
          <w:kern w:val="0"/>
          <w:sz w:val="32"/>
          <w:szCs w:val="32"/>
        </w:rPr>
        <w:t>9</w:t>
      </w:r>
      <w:r>
        <w:rPr>
          <w:rFonts w:ascii="仿宋_GB2312" w:hAnsi="仿宋_GB2312" w:cs="仿宋_GB2312" w:hint="eastAsia" w:eastAsia="仿宋_GB2312"/>
          <w:color w:val="000000"/>
          <w:kern w:val="0"/>
          <w:sz w:val="32"/>
          <w:szCs w:val="32"/>
        </w:rPr>
        <w:t>月</w:t>
      </w:r>
      <w:r>
        <w:rPr>
          <w:rFonts w:eastAsia="仿宋_GB2312" w:cs="仿宋"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日起施行。</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333333"/>
          <w:kern w:val="0"/>
          <w:sz w:val="32"/>
          <w:szCs w:val="32"/>
        </w:rPr>
        <w:t>附件：</w:t>
      </w:r>
      <w:r>
        <w:rPr>
          <w:rFonts w:ascii="仿宋_GB2312" w:hAnsi="仿宋_GB2312" w:cs="仿宋_GB2312" w:hint="eastAsia" w:eastAsia="仿宋_GB2312"/>
          <w:color w:val="000000"/>
          <w:kern w:val="0"/>
          <w:sz w:val="32"/>
          <w:szCs w:val="32"/>
        </w:rPr>
        <w:t>黑龙江省资源税税目税率表</w:t>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napToGrid w:val="false"/>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napToGrid w:val="false"/>
        <w:spacing w:lineRule="exact" w:line="560"/>
        <w:jc w:val="start"/>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附件</w:t>
      </w:r>
    </w:p>
    <w:tbl>
      <w:tblPr>
        <w:tblpPr w:vertAnchor="text" w:horzAnchor="page" w:leftFromText="180" w:rightFromText="180" w:tblpX="1784" w:tblpY="325"/>
        <w:tblOverlap w:val="never"/>
        <w:tblW w:w="8475" w:type="dxa"/>
        <w:jc w:val="start"/>
        <w:tblInd w:w="15" w:type="dxa"/>
        <w:tblLayout w:type="fixed"/>
        <w:tblCellMar>
          <w:top w:w="15" w:type="dxa"/>
          <w:start w:w="15" w:type="dxa"/>
          <w:bottom w:w="15" w:type="dxa"/>
          <w:end w:w="15" w:type="dxa"/>
        </w:tblCellMar>
      </w:tblPr>
      <w:tblGrid>
        <w:gridCol w:w="876"/>
        <w:gridCol w:w="876"/>
        <w:gridCol w:w="877"/>
        <w:gridCol w:w="2121"/>
        <w:gridCol w:w="2120"/>
        <w:gridCol w:w="1605"/>
      </w:tblGrid>
      <w:tr>
        <w:trPr>
          <w:trHeight w:val="492" w:hRule="exact"/>
        </w:trPr>
        <w:tc>
          <w:tcPr>
            <w:tcW w:w="8475" w:type="dxa"/>
            <w:gridSpan w:val="6"/>
            <w:tcBorders>
              <w:bottom w:val="single" w:sz="4" w:space="0" w:color="000000"/>
            </w:tcBorders>
            <w:vAlign w:val="center"/>
          </w:tcPr>
          <w:p>
            <w:pPr>
              <w:pStyle w:val="New"/>
              <w:widowControl/>
              <w:shd w:fill="FFFFFF" w:val="clear"/>
              <w:snapToGrid w:val="false"/>
              <w:spacing w:lineRule="exact" w:line="560"/>
              <w:jc w:val="center"/>
              <w:rPr>
                <w:rFonts w:ascii="方正小标宋简体" w:hAnsi="方正小标宋简体" w:eastAsia="方正小标宋简体" w:cs="方正小标宋简体" w:hint="eastAsia"/>
                <w:b w:val="false"/>
                <w:bCs w:val="false"/>
                <w:color w:val="000000"/>
                <w:kern w:val="0"/>
                <w:sz w:val="36"/>
                <w:szCs w:val="36"/>
                <w:lang w:bidi="ar"/>
              </w:rPr>
            </w:pPr>
            <w:r>
              <w:rPr>
                <w:rFonts w:ascii="方正小标宋简体" w:hAnsi="方正小标宋简体" w:cs="方正小标宋简体" w:hint="eastAsia" w:eastAsia="方正小标宋简体"/>
                <w:b w:val="false"/>
                <w:bCs w:val="false"/>
                <w:color w:val="000000"/>
                <w:kern w:val="0"/>
                <w:sz w:val="36"/>
                <w:szCs w:val="36"/>
                <w:lang w:bidi="ar"/>
              </w:rPr>
              <w:t>黑龙江省资源税税目税率表</w:t>
            </w:r>
          </w:p>
        </w:tc>
      </w:tr>
      <w:tr>
        <w:trPr>
          <w:trHeight w:val="397"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b/>
                <w:color w:val="000000"/>
                <w:sz w:val="24"/>
              </w:rPr>
            </w:pPr>
            <w:r>
              <w:rPr>
                <w:rFonts w:ascii="仿宋_GB2312" w:hAnsi="仿宋_GB2312" w:cs="仿宋" w:hint="eastAsia"/>
                <w:b/>
                <w:color w:val="000000"/>
                <w:kern w:val="0"/>
                <w:sz w:val="24"/>
                <w:lang w:bidi="ar"/>
              </w:rPr>
              <w:t>序号</w:t>
            </w:r>
          </w:p>
        </w:tc>
        <w:tc>
          <w:tcPr>
            <w:tcW w:w="387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b/>
                <w:color w:val="000000"/>
                <w:sz w:val="24"/>
              </w:rPr>
            </w:pPr>
            <w:r>
              <w:rPr>
                <w:rFonts w:ascii="仿宋_GB2312" w:hAnsi="仿宋_GB2312" w:cs="仿宋" w:hint="eastAsia"/>
                <w:b/>
                <w:color w:val="000000"/>
                <w:kern w:val="0"/>
                <w:sz w:val="24"/>
                <w:lang w:bidi="ar"/>
              </w:rPr>
              <w:t>税目</w:t>
            </w:r>
          </w:p>
        </w:tc>
        <w:tc>
          <w:tcPr>
            <w:tcW w:w="212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b/>
                <w:color w:val="000000"/>
                <w:sz w:val="24"/>
              </w:rPr>
            </w:pPr>
            <w:r>
              <w:rPr>
                <w:rFonts w:ascii="仿宋_GB2312" w:hAnsi="仿宋_GB2312" w:cs="仿宋" w:hint="eastAsia"/>
                <w:b/>
                <w:color w:val="000000"/>
                <w:kern w:val="0"/>
                <w:sz w:val="24"/>
                <w:lang w:bidi="ar"/>
              </w:rPr>
              <w:t>征税对象</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b/>
                <w:color w:val="000000"/>
                <w:sz w:val="24"/>
              </w:rPr>
            </w:pPr>
            <w:r>
              <w:rPr>
                <w:rFonts w:ascii="仿宋_GB2312" w:hAnsi="仿宋_GB2312" w:cs="仿宋" w:hint="eastAsia"/>
                <w:b/>
                <w:color w:val="000000"/>
                <w:kern w:val="0"/>
                <w:sz w:val="24"/>
                <w:lang w:bidi="ar"/>
              </w:rPr>
              <w:t>税率</w:t>
            </w:r>
          </w:p>
        </w:tc>
      </w:tr>
      <w:tr>
        <w:trPr>
          <w:trHeight w:val="397" w:hRule="exact"/>
        </w:trPr>
        <w:tc>
          <w:tcPr>
            <w:tcW w:w="876" w:type="dxa"/>
            <w:vMerge w:val="restart"/>
            <w:tcBorders>
              <w:top w:val="single" w:sz="4"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w:t>
            </w:r>
          </w:p>
        </w:tc>
        <w:tc>
          <w:tcPr>
            <w:tcW w:w="1753" w:type="dxa"/>
            <w:gridSpan w:val="2"/>
            <w:vMerge w:val="restart"/>
            <w:tcBorders>
              <w:top w:val="single" w:sz="4"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能源矿产</w:t>
            </w:r>
          </w:p>
        </w:tc>
        <w:tc>
          <w:tcPr>
            <w:tcW w:w="2121" w:type="dxa"/>
            <w:vMerge w:val="restart"/>
            <w:tcBorders>
              <w:top w:val="single" w:sz="4"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煤</w:t>
            </w:r>
          </w:p>
        </w:tc>
        <w:tc>
          <w:tcPr>
            <w:tcW w:w="2120" w:type="dxa"/>
            <w:tcBorders>
              <w:top w:val="single" w:sz="4"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4"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4"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2%</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w:t>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煤成（层）气</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油页岩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油砂</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w:t>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天然沥青</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w:t>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石煤</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w:t>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地热</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ascii="仿宋_GB2312" w:hAnsi="仿宋_GB2312" w:cs="仿宋" w:hint="eastAsia"/>
                <w:color w:val="000000"/>
                <w:kern w:val="0"/>
                <w:sz w:val="24"/>
                <w:lang w:bidi="ar"/>
              </w:rPr>
              <w:t>每立方米</w:t>
            </w:r>
            <w:r>
              <w:rPr>
                <w:rFonts w:eastAsia="仿宋_GB2312" w:cs="仿宋" w:hint="eastAsia" w:ascii="仿宋_GB2312" w:hAnsi="仿宋_GB2312"/>
                <w:color w:val="000000"/>
                <w:kern w:val="0"/>
                <w:sz w:val="24"/>
                <w:lang w:bidi="ar"/>
              </w:rPr>
              <w:t>2</w:t>
            </w:r>
            <w:r>
              <w:rPr>
                <w:rFonts w:ascii="仿宋_GB2312" w:hAnsi="仿宋_GB2312" w:cs="仿宋" w:hint="eastAsia"/>
                <w:color w:val="000000"/>
                <w:kern w:val="0"/>
                <w:sz w:val="24"/>
                <w:lang w:bidi="ar"/>
              </w:rPr>
              <w:t>元</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1753" w:type="dxa"/>
            <w:gridSpan w:val="2"/>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金属  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黑色  金属</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铁</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8%</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锰</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铬</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钒</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钛</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sz w:val="24"/>
              </w:rPr>
              <w:t>有色  金属</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铜</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6.5%</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铅</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15</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金属  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sz w:val="24"/>
              </w:rPr>
              <w:t>有色  金属</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锌</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锡</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镍</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锑</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镁</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钴</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铋</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汞</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铝土矿</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金</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银</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铂</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钯</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钌</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29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锇</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铱</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4"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w:t>
            </w:r>
          </w:p>
        </w:tc>
      </w:tr>
    </w:tbl>
    <w:p>
      <w:pPr>
        <w:pStyle w:val="Normal"/>
        <w:widowControl/>
        <w:jc w:val="both"/>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bl>
      <w:tblPr>
        <w:tblpPr w:vertAnchor="text" w:horzAnchor="page" w:leftFromText="180" w:rightFromText="180" w:tblpX="1789" w:tblpY="325"/>
        <w:tblOverlap w:val="never"/>
        <w:tblW w:w="8475" w:type="dxa"/>
        <w:jc w:val="start"/>
        <w:tblInd w:w="15" w:type="dxa"/>
        <w:tblLayout w:type="fixed"/>
        <w:tblCellMar>
          <w:top w:w="15" w:type="dxa"/>
          <w:start w:w="15" w:type="dxa"/>
          <w:bottom w:w="15" w:type="dxa"/>
          <w:end w:w="15" w:type="dxa"/>
        </w:tblCellMar>
      </w:tblPr>
      <w:tblGrid>
        <w:gridCol w:w="876"/>
        <w:gridCol w:w="876"/>
        <w:gridCol w:w="877"/>
        <w:gridCol w:w="2121"/>
        <w:gridCol w:w="2120"/>
        <w:gridCol w:w="1605"/>
      </w:tblGrid>
      <w:tr>
        <w:trPr>
          <w:trHeight w:val="397" w:hRule="exact"/>
        </w:trPr>
        <w:tc>
          <w:tcPr>
            <w:tcW w:w="876" w:type="dxa"/>
            <w:vMerge w:val="restart"/>
            <w:tcBorders>
              <w:top w:val="single" w:sz="4"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31</w:t>
            </w:r>
          </w:p>
        </w:tc>
        <w:tc>
          <w:tcPr>
            <w:tcW w:w="876" w:type="dxa"/>
            <w:vMerge w:val="restart"/>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金属  矿产</w:t>
            </w:r>
          </w:p>
        </w:tc>
        <w:tc>
          <w:tcPr>
            <w:tcW w:w="877" w:type="dxa"/>
            <w:vMerge w:val="restart"/>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sz w:val="24"/>
              </w:rPr>
              <w:t>有色  金属</w:t>
            </w:r>
          </w:p>
        </w:tc>
        <w:tc>
          <w:tcPr>
            <w:tcW w:w="2121" w:type="dxa"/>
            <w:vMerge w:val="restart"/>
            <w:tcBorders>
              <w:top w:val="single" w:sz="4"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铑</w:t>
            </w:r>
          </w:p>
        </w:tc>
        <w:tc>
          <w:tcPr>
            <w:tcW w:w="2120" w:type="dxa"/>
            <w:tcBorders>
              <w:top w:val="single" w:sz="4"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4"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4"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32</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轻稀土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33</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铍</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34</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锂</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35</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锆</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36</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锶</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37</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铷</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38</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铯</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39</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铌</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40</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钽</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41</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锗</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42</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镓</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43</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44</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铊</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45</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铪</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46</w:t>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铼</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4"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47</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金属  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sz w:val="24"/>
              </w:rPr>
              <w:t>有色  金属</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镉</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硒</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碲</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50</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非金属矿产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矿物类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高岭土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3.5%</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石灰岩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磷</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石墨</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12%</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萤石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硫铁矿</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自然硫</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天然石英砂</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脉石英</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59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粉石英</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水晶</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工业用金刚石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冰洲石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63</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非金属矿产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矿物类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蓝晶石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硅线石（矽线石）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长石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滑石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刚玉</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菱镁矿</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69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颜料矿物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天然碱</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芒硝</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钠硝石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明矾石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砷</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硼</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碘</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溴</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膨润土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79</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非金属矿产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矿物类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硅藻土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陶瓷土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耐火粘土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铁矾土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凹凸棒石粘土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海泡石粘土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伊利石粘土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累托石粘土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叶腊石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硅灰石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89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透辉石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珍珠岩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5%</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云母</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沸石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重晶石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毒重石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95</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非金属矿产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矿物类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方解石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9%</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蛭石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透闪石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工业用电气石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99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白垩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石棉</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蓝石棉</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红柱石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石榴子石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石膏</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502"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其他粘土</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8"/>
                <w:szCs w:val="20"/>
                <w:lang w:bidi="ar"/>
              </w:rPr>
            </w:pPr>
            <w:r>
              <w:rPr>
                <w:rFonts w:ascii="仿宋_GB2312" w:hAnsi="仿宋_GB2312" w:cs="仿宋" w:hint="eastAsia"/>
                <w:color w:val="000000"/>
                <w:kern w:val="0"/>
                <w:sz w:val="22"/>
                <w:szCs w:val="22"/>
                <w:lang w:bidi="ar"/>
              </w:rPr>
              <w:t>每立方米</w:t>
            </w:r>
            <w:r>
              <w:rPr>
                <w:rFonts w:eastAsia="仿宋_GB2312" w:cs="仿宋" w:hint="eastAsia" w:ascii="仿宋_GB2312" w:hAnsi="仿宋_GB2312"/>
                <w:color w:val="000000"/>
                <w:kern w:val="0"/>
                <w:sz w:val="22"/>
                <w:szCs w:val="22"/>
                <w:lang w:bidi="ar"/>
              </w:rPr>
              <w:t>1.5</w:t>
            </w:r>
            <w:r>
              <w:rPr>
                <w:rFonts w:ascii="仿宋_GB2312" w:hAnsi="仿宋_GB2312" w:cs="仿宋" w:hint="eastAsia"/>
                <w:color w:val="000000"/>
                <w:kern w:val="0"/>
                <w:sz w:val="22"/>
                <w:szCs w:val="22"/>
                <w:lang w:bidi="ar"/>
              </w:rPr>
              <w:t>元</w:t>
            </w:r>
          </w:p>
        </w:tc>
      </w:tr>
      <w:tr>
        <w:trPr>
          <w:trHeight w:val="532"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szCs w:val="20"/>
                <w:lang w:bidi="ar"/>
              </w:rPr>
            </w:pPr>
            <w:r>
              <w:rPr>
                <w:rFonts w:eastAsia="仿宋_GB2312" w:cs="仿宋" w:hint="eastAsia" w:ascii="仿宋_GB2312" w:hAnsi="仿宋_GB2312"/>
                <w:color w:val="000000"/>
                <w:kern w:val="0"/>
                <w:sz w:val="24"/>
                <w:szCs w:val="20"/>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1"/>
                <w:szCs w:val="15"/>
                <w:lang w:bidi="ar"/>
              </w:rPr>
            </w:pPr>
            <w:r>
              <w:rPr>
                <w:rFonts w:ascii="仿宋_GB2312" w:hAnsi="仿宋_GB2312" w:cs="仿宋" w:hint="eastAsia"/>
                <w:color w:val="000000"/>
                <w:kern w:val="0"/>
                <w:sz w:val="21"/>
                <w:szCs w:val="15"/>
                <w:lang w:bidi="ar"/>
              </w:rPr>
              <w:t>每立方米</w:t>
            </w:r>
            <w:r>
              <w:rPr>
                <w:rFonts w:eastAsia="仿宋_GB2312" w:cs="仿宋" w:hint="eastAsia" w:ascii="仿宋_GB2312" w:hAnsi="仿宋_GB2312"/>
                <w:color w:val="000000"/>
                <w:kern w:val="0"/>
                <w:sz w:val="21"/>
                <w:szCs w:val="15"/>
                <w:lang w:bidi="ar"/>
              </w:rPr>
              <w:t>1.5</w:t>
            </w:r>
            <w:r>
              <w:rPr>
                <w:rFonts w:ascii="仿宋_GB2312" w:hAnsi="仿宋_GB2312" w:cs="仿宋" w:hint="eastAsia"/>
                <w:color w:val="000000"/>
                <w:kern w:val="0"/>
                <w:sz w:val="21"/>
                <w:szCs w:val="15"/>
                <w:lang w:bidi="ar"/>
              </w:rPr>
              <w:t>元</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岩石类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大理岩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花岗岩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6%</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白云岩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109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石英岩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砂岩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111</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非金属矿产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岩石类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辉绿岩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安山岩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闪长岩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板岩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玄武岩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片麻岩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角闪岩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页岩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119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浮石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凝灰岩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黑曜岩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霞石正长岩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蛇纹岩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麦饭石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泥灰岩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含钾岩石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127</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非金属矿产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岩石类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含钾砂页岩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天然油石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129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橄榄岩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松脂岩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粗面岩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辉长岩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辉石岩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正长岩</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火山灰</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火山渣</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泥炭</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砂石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2"/>
                <w:szCs w:val="22"/>
                <w:lang w:bidi="ar"/>
              </w:rPr>
            </w:pPr>
            <w:r>
              <w:rPr>
                <w:rFonts w:ascii="仿宋_GB2312" w:hAnsi="仿宋_GB2312" w:cs="仿宋" w:hint="eastAsia"/>
                <w:color w:val="000000"/>
                <w:kern w:val="0"/>
                <w:sz w:val="22"/>
                <w:szCs w:val="22"/>
                <w:lang w:bidi="ar"/>
              </w:rPr>
              <w:t>每立方米</w:t>
            </w:r>
            <w:r>
              <w:rPr>
                <w:rFonts w:eastAsia="仿宋_GB2312" w:cs="仿宋" w:hint="eastAsia" w:ascii="仿宋_GB2312" w:hAnsi="仿宋_GB2312"/>
                <w:color w:val="000000"/>
                <w:kern w:val="0"/>
                <w:sz w:val="22"/>
                <w:szCs w:val="22"/>
                <w:lang w:bidi="ar"/>
              </w:rPr>
              <w:t>1</w:t>
            </w:r>
            <w:r>
              <w:rPr>
                <w:rFonts w:ascii="仿宋_GB2312" w:hAnsi="仿宋_GB2312" w:cs="仿宋" w:hint="eastAsia"/>
                <w:color w:val="000000"/>
                <w:kern w:val="0"/>
                <w:sz w:val="22"/>
                <w:szCs w:val="22"/>
                <w:lang w:bidi="ar"/>
              </w:rPr>
              <w:t>元</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szCs w:val="22"/>
                <w:lang w:bidi="ar"/>
              </w:rPr>
            </w:pPr>
            <w:r>
              <w:rPr>
                <w:rFonts w:eastAsia="仿宋_GB2312" w:cs="仿宋" w:hint="eastAsia" w:ascii="仿宋_GB2312" w:hAnsi="仿宋_GB2312"/>
                <w:color w:val="000000"/>
                <w:kern w:val="0"/>
                <w:sz w:val="24"/>
                <w:szCs w:val="22"/>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2"/>
                <w:szCs w:val="22"/>
                <w:lang w:bidi="ar"/>
              </w:rPr>
            </w:pPr>
            <w:r>
              <w:rPr>
                <w:rFonts w:ascii="仿宋_GB2312" w:hAnsi="仿宋_GB2312" w:cs="仿宋" w:hint="eastAsia"/>
                <w:color w:val="000000"/>
                <w:kern w:val="0"/>
                <w:sz w:val="22"/>
                <w:szCs w:val="22"/>
                <w:lang w:bidi="ar"/>
              </w:rPr>
              <w:t>每立方米</w:t>
            </w:r>
            <w:r>
              <w:rPr>
                <w:rFonts w:eastAsia="仿宋_GB2312" w:cs="仿宋" w:hint="eastAsia" w:ascii="仿宋_GB2312" w:hAnsi="仿宋_GB2312"/>
                <w:color w:val="000000"/>
                <w:kern w:val="0"/>
                <w:sz w:val="22"/>
                <w:szCs w:val="22"/>
                <w:lang w:bidi="ar"/>
              </w:rPr>
              <w:t>1</w:t>
            </w:r>
            <w:r>
              <w:rPr>
                <w:rFonts w:ascii="仿宋_GB2312" w:hAnsi="仿宋_GB2312" w:cs="仿宋" w:hint="eastAsia"/>
                <w:color w:val="000000"/>
                <w:kern w:val="0"/>
                <w:sz w:val="22"/>
                <w:szCs w:val="22"/>
                <w:lang w:bidi="ar"/>
              </w:rPr>
              <w:t>元</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139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宝石类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宝石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140</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玉石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宝石级金刚石</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玛瑙</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143</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非金属矿产</w:t>
            </w:r>
          </w:p>
        </w:tc>
        <w:tc>
          <w:tcPr>
            <w:tcW w:w="877"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岩石类</w:t>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黄玉</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碧玺</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145</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水气  矿产</w:t>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二氧化碳气</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146</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硫化氢气</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147</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氦气</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148</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氡气</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149</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矿泉水</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4%</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kern w:val="0"/>
                <w:sz w:val="24"/>
                <w:lang w:bidi="ar"/>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150</w:t>
            </w:r>
          </w:p>
        </w:tc>
        <w:tc>
          <w:tcPr>
            <w:tcW w:w="876"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盐</w:t>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钠盐</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151</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钾盐</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152</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镁盐</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153</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锂盐</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154</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天然卤水</w:t>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原矿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97"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选矿</w:t>
            </w:r>
          </w:p>
        </w:tc>
        <w:tc>
          <w:tcPr>
            <w:tcW w:w="1605" w:type="dxa"/>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r>
      <w:tr>
        <w:trPr>
          <w:trHeight w:val="397" w:hRule="exact"/>
        </w:trPr>
        <w:tc>
          <w:tcPr>
            <w:tcW w:w="876" w:type="dxa"/>
            <w:vMerge w:val="restart"/>
            <w:tcBorders>
              <w:top w:val="single" w:sz="6" w:space="0" w:color="000000"/>
              <w:start w:val="single" w:sz="4"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155</w:t>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ascii="仿宋_GB2312" w:hAnsi="仿宋_GB2312" w:cs="仿宋" w:hint="eastAsia"/>
                <w:color w:val="000000"/>
                <w:kern w:val="0"/>
                <w:sz w:val="24"/>
                <w:lang w:bidi="ar"/>
              </w:rPr>
              <w:t>海盐</w:t>
            </w:r>
          </w:p>
        </w:tc>
        <w:tc>
          <w:tcPr>
            <w:tcW w:w="2120"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w:t>
            </w:r>
          </w:p>
        </w:tc>
        <w:tc>
          <w:tcPr>
            <w:tcW w:w="1605" w:type="dxa"/>
            <w:vMerge w:val="restart"/>
            <w:tcBorders>
              <w:top w:val="single" w:sz="6" w:space="0" w:color="000000"/>
              <w:start w:val="single" w:sz="6" w:space="0" w:color="000000"/>
              <w:bottom w:val="single" w:sz="6" w:space="0" w:color="000000"/>
              <w:end w:val="single" w:sz="4" w:space="0" w:color="000000"/>
            </w:tcBorders>
            <w:vAlign w:val="center"/>
          </w:tcPr>
          <w:p>
            <w:pPr>
              <w:pStyle w:val="Normal"/>
              <w:widowControl/>
              <w:jc w:val="center"/>
              <w:textAlignment w:val="center"/>
              <w:rPr>
                <w:rFonts w:ascii="仿宋_GB2312" w:hAnsi="仿宋_GB2312" w:eastAsia="仿宋_GB2312" w:cs="仿宋" w:hint="eastAsia"/>
                <w:color w:val="000000"/>
                <w:sz w:val="24"/>
              </w:rPr>
            </w:pPr>
            <w:r>
              <w:rPr>
                <w:rFonts w:eastAsia="仿宋_GB2312" w:cs="仿宋" w:hint="eastAsia" w:ascii="仿宋_GB2312" w:hAnsi="仿宋_GB2312"/>
                <w:color w:val="000000"/>
                <w:kern w:val="0"/>
                <w:sz w:val="24"/>
                <w:lang w:bidi="ar"/>
              </w:rPr>
              <w:t>3%</w:t>
            </w:r>
          </w:p>
        </w:tc>
      </w:tr>
      <w:tr>
        <w:trPr>
          <w:trHeight w:val="312" w:hRule="exact"/>
        </w:trPr>
        <w:tc>
          <w:tcPr>
            <w:tcW w:w="876"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87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998"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212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c>
          <w:tcPr>
            <w:tcW w:w="1605" w:type="dxa"/>
            <w:vMerge w:val="continue"/>
            <w:tcBorders>
              <w:top w:val="single" w:sz="6" w:space="0" w:color="000000"/>
              <w:start w:val="single" w:sz="6" w:space="0" w:color="000000"/>
              <w:bottom w:val="single" w:sz="6" w:space="0" w:color="000000"/>
              <w:end w:val="single" w:sz="4" w:space="0" w:color="000000"/>
            </w:tcBorders>
            <w:vAlign w:val="center"/>
          </w:tcPr>
          <w:p>
            <w:pPr>
              <w:pStyle w:val="Normal"/>
              <w:snapToGrid w:val="false"/>
              <w:jc w:val="center"/>
              <w:rPr>
                <w:rFonts w:ascii="仿宋_GB2312" w:hAnsi="仿宋_GB2312" w:eastAsia="仿宋_GB2312" w:cs="仿宋" w:hint="eastAsia"/>
                <w:color w:val="000000"/>
                <w:sz w:val="24"/>
              </w:rPr>
            </w:pPr>
            <w:r>
              <w:rPr>
                <w:rFonts w:eastAsia="仿宋_GB2312" w:cs="仿宋" w:hint="eastAsia" w:ascii="仿宋_GB2312" w:hAnsi="仿宋_GB2312"/>
                <w:color w:val="000000"/>
                <w:sz w:val="24"/>
              </w:rPr>
            </w:r>
          </w:p>
        </w:tc>
      </w:tr>
    </w:tbl>
    <w:p>
      <w:pPr>
        <w:pStyle w:val="Normal"/>
        <w:rPr>
          <w:rFonts w:hint="eastAsia"/>
        </w:rPr>
      </w:pPr>
      <w:r>
        <w:rPr>
          <w:rFonts w:hint="eastAsia"/>
        </w:rPr>
      </w:r>
    </w:p>
    <w:sectPr>
      <w:footerReference w:type="default" r:id="rId2"/>
      <w:type w:val="nextPage"/>
      <w:pgSz w:w="11906" w:h="16838"/>
      <w:pgMar w:left="1474" w:right="1361" w:gutter="0" w:header="0" w:top="1701"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黑体">
    <w:charset w:val="86"/>
    <w:family w:val="auto"/>
    <w:pitch w:val="default"/>
  </w:font>
  <w:font w:name="Liberation Sans">
    <w:altName w:val="Arial"/>
    <w:charset w:val="01" w:characterSet="utf-8"/>
    <w:family w:val="swiss"/>
    <w:pitch w:val="variable"/>
  </w:font>
  <w:font w:name="Times New Roman">
    <w:charset w:val="86"/>
    <w:family w:val="roman"/>
    <w:pitch w:val="default"/>
  </w:font>
  <w:font w:name="方正小标宋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仿宋_GB2312" w:cs="Calibri"/>
      <w:color w:val="auto"/>
      <w:kern w:val="2"/>
      <w:sz w:val="32"/>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Char">
    <w:name w:val="纯文本 Char"/>
    <w:basedOn w:val="Style13"/>
    <w:qFormat/>
    <w:rPr>
      <w:rFonts w:ascii="宋体" w:hAnsi="宋体" w:eastAsia="仿宋" w:cs="Courier New"/>
      <w:kern w:val="2"/>
      <w:sz w:val="32"/>
      <w:szCs w:val="21"/>
    </w:rPr>
  </w:style>
  <w:style w:type="character" w:styleId="Char1">
    <w:name w:val="纯文本 Char1"/>
    <w:basedOn w:val="Style13"/>
    <w:qFormat/>
    <w:rPr>
      <w:rFonts w:ascii="宋体" w:hAnsi="宋体" w:cs="Courier New"/>
      <w:kern w:val="2"/>
      <w:sz w:val="21"/>
      <w:szCs w:val="21"/>
    </w:rPr>
  </w:style>
  <w:style w:type="character" w:styleId="Char2">
    <w:name w:val="批注框文本 Char"/>
    <w:qFormat/>
    <w:rPr>
      <w:rFonts w:ascii="Calibri" w:hAnsi="Calibri" w:eastAsia="仿宋_GB2312" w:cs="Calibri"/>
      <w:kern w:val="2"/>
      <w:sz w:val="18"/>
      <w:szCs w:val="18"/>
    </w:rPr>
  </w:style>
  <w:style w:type="character" w:styleId="Char3">
    <w:name w:val="页脚 Char"/>
    <w:qFormat/>
    <w:rPr>
      <w:rFonts w:ascii="Calibri" w:hAnsi="Calibri" w:eastAsia="仿宋_GB2312" w:cs="Calibri"/>
      <w:kern w:val="2"/>
      <w:sz w:val="18"/>
      <w:szCs w:val="24"/>
    </w:rPr>
  </w:style>
  <w:style w:type="character" w:styleId="FontStyle22">
    <w:name w:val="Font Style22"/>
    <w:qFormat/>
    <w:rPr>
      <w:rFonts w:ascii="黑体" w:hAnsi="黑体" w:eastAsia="黑体" w:cs="黑体"/>
      <w:spacing w:val="20"/>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Calibri" w:hAnsi="Calibri" w:eastAsia="宋体" w:cs="黑体"/>
      <w:color w:val="auto"/>
      <w:kern w:val="2"/>
      <w:sz w:val="21"/>
      <w:szCs w:val="24"/>
      <w:lang w:val="en-US" w:eastAsia="zh-CN" w:bidi="hi-IN"/>
    </w:rPr>
  </w:style>
  <w:style w:type="paragraph" w:styleId="Style14">
    <w:name w:val="纯文本"/>
    <w:basedOn w:val="Normal"/>
    <w:qFormat/>
    <w:pPr/>
    <w:rPr>
      <w:rFonts w:ascii="宋体" w:hAnsi="宋体" w:eastAsia="仿宋" w:cs="Courier New"/>
      <w:szCs w:val="21"/>
    </w:rPr>
  </w:style>
  <w:style w:type="paragraph" w:styleId="Style15">
    <w:name w:val="普通(网站)"/>
    <w:basedOn w:val="Normal"/>
    <w:qFormat/>
    <w:pPr>
      <w:spacing w:before="280" w:after="280"/>
      <w:jc w:val="start"/>
    </w:pPr>
    <w:rPr>
      <w:rFonts w:eastAsia="宋体"/>
      <w:kern w:val="0"/>
      <w:sz w:val="24"/>
    </w:rPr>
  </w:style>
  <w:style w:type="paragraph" w:styleId="Style16">
    <w:name w:val="引文目录"/>
    <w:basedOn w:val="Normal"/>
    <w:next w:val="Normal"/>
    <w:qFormat/>
    <w:pPr>
      <w:ind w:firstLineChars="0" w:firstLine="0" w:startChars="2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Style18">
    <w:name w:val="批注文字"/>
    <w:basedOn w:val="Normal"/>
    <w:qFormat/>
    <w:pPr>
      <w:jc w:val="start"/>
    </w:pPr>
    <w:rPr/>
  </w:style>
  <w:style w:type="paragraph" w:styleId="p0">
    <w:name w:val="p0"/>
    <w:basedOn w:val="Normal"/>
    <w:qFormat/>
    <w:pPr>
      <w:widowControl/>
    </w:pPr>
    <w:rPr>
      <w:rFonts w:ascii="Times New Roman" w:hAnsi="Times New Roman" w:eastAsia="宋体" w:cs="Times New Roman"/>
      <w:kern w:val="0"/>
      <w:sz w:val="21"/>
      <w:szCs w:val="21"/>
    </w:rPr>
  </w:style>
  <w:style w:type="paragraph" w:styleId="Style19">
    <w:name w:val="列出段落"/>
    <w:basedOn w:val="Normal"/>
    <w:qFormat/>
    <w:pPr>
      <w:ind w:firstLineChars="200" w:startChars="0" w:start="0" w:endChars="0" w:end="0"/>
    </w:pPr>
    <w:rPr>
      <w:rFonts w:ascii="Times New Roman" w:hAnsi="Times New Roman" w:eastAsia="宋体" w:cs="Times New Roman"/>
      <w:sz w:val="21"/>
      <w:szCs w:val="22"/>
    </w:rPr>
  </w:style>
  <w:style w:type="paragraph" w:styleId="1">
    <w:name w:val="无间隔1"/>
    <w:qFormat/>
    <w:pPr>
      <w:widowControl w:val="false"/>
      <w:bidi w:val="0"/>
      <w:jc w:val="both"/>
    </w:pPr>
    <w:rPr>
      <w:rFonts w:ascii="Calibri" w:hAnsi="Calibri" w:eastAsia="宋体" w:cs="Calibri"/>
      <w:color w:val="auto"/>
      <w:kern w:val="2"/>
      <w:sz w:val="21"/>
      <w:szCs w:val="22"/>
      <w:lang w:bidi="ar-SA" w:val="en-US"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文档2.dot</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2019-12-06T20:28:00Z</dcterms:created>
  <dc:creator>admin</dc:creator>
  <dc:description/>
  <dc:language>en-US</dc:language>
  <cp:lastModifiedBy>admin</cp:lastModifiedBy>
  <cp:lastPrinted>2020-08-21T09:30:00Z</cp:lastPrinted>
  <dcterms:modified xsi:type="dcterms:W3CDTF">2020-08-21T09:36:02Z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