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150" w:startChars="0" w:start="0" w:endChars="0" w:end="0"/>
        <w:rPr>
          <w:rFonts w:ascii="宋体;SimSun" w:hAnsi="宋体;SimSun" w:cs="宋体;SimSun" w:hint="eastAsia"/>
          <w:sz w:val="44"/>
          <w:szCs w:val="44"/>
        </w:rPr>
      </w:pPr>
      <w:r>
        <w:rPr>
          <w:rFonts w:cs="宋体;SimSun" w:hint="eastAsia" w:ascii="宋体;SimSun" w:hAnsi="宋体;SimSun"/>
          <w:sz w:val="44"/>
          <w:szCs w:val="44"/>
        </w:rPr>
      </w:r>
    </w:p>
    <w:p>
      <w:pPr>
        <w:pStyle w:val="Normal"/>
        <w:ind w:firstLineChars="150" w:startChars="0" w:start="0" w:endChars="0" w:end="0"/>
        <w:rPr>
          <w:rFonts w:ascii="宋体;SimSun" w:hAnsi="宋体;SimSun" w:cs="宋体;SimSun" w:hint="eastAsia"/>
          <w:sz w:val="44"/>
          <w:szCs w:val="44"/>
        </w:rPr>
      </w:pPr>
      <w:r>
        <w:rPr>
          <w:rFonts w:cs="宋体;SimSun" w:hint="eastAsia" w:ascii="宋体;SimSun" w:hAnsi="宋体;SimSun"/>
          <w:sz w:val="44"/>
          <w:szCs w:val="44"/>
        </w:rPr>
      </w:r>
    </w:p>
    <w:p>
      <w:pPr>
        <w:pStyle w:val="Normal"/>
        <w:ind w:firstLineChars="50" w:startChars="0" w:start="0" w:endChars="0" w:end="0"/>
        <w:rPr>
          <w:rFonts w:ascii="宋体;SimSun" w:hAnsi="宋体;SimSun" w:cs="宋体;SimSun"/>
          <w:sz w:val="44"/>
          <w:szCs w:val="44"/>
        </w:rPr>
      </w:pPr>
      <w:r>
        <w:rPr>
          <w:rFonts w:ascii="宋体;SimSun" w:hAnsi="宋体;SimSun" w:cs="宋体;SimSun" w:hint="eastAsia"/>
          <w:sz w:val="44"/>
          <w:szCs w:val="44"/>
        </w:rPr>
        <w:t>哈尔滨市查处假冒巡游出租汽车若干规定</w:t>
      </w:r>
    </w:p>
    <w:p>
      <w:pPr>
        <w:pStyle w:val="Normal"/>
        <w:spacing w:lineRule="exact" w:line="24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150" w:startChars="0" w:start="0" w:endChars="0" w:end="0"/>
        <w:rPr/>
      </w:pPr>
      <w:r>
        <w:rPr>
          <w:rFonts w:ascii="楷体_GB2312" w:hAnsi="楷体_GB2312" w:cs="楷体" w:hint="eastAsia" w:eastAsia="楷体_GB2312"/>
          <w:sz w:val="28"/>
          <w:szCs w:val="28"/>
        </w:rPr>
        <w:t>（</w:t>
      </w:r>
      <w:r>
        <w:rPr>
          <w:rFonts w:eastAsia="楷体_GB2312" w:cs="楷体" w:hint="eastAsia" w:ascii="楷体_GB2312" w:hAnsi="楷体_GB2312"/>
          <w:sz w:val="28"/>
          <w:szCs w:val="28"/>
        </w:rPr>
        <w:t>2018</w:t>
      </w:r>
      <w:r>
        <w:rPr>
          <w:rFonts w:ascii="楷体_GB2312" w:hAnsi="楷体_GB2312" w:cs="楷体" w:hint="eastAsia" w:eastAsia="楷体_GB2312"/>
          <w:sz w:val="28"/>
          <w:szCs w:val="28"/>
        </w:rPr>
        <w:t>年</w:t>
      </w:r>
      <w:r>
        <w:rPr>
          <w:rFonts w:eastAsia="楷体_GB2312" w:cs="楷体" w:hint="eastAsia" w:ascii="楷体_GB2312" w:hAnsi="楷体_GB2312"/>
          <w:sz w:val="28"/>
          <w:szCs w:val="28"/>
        </w:rPr>
        <w:t>11</w:t>
      </w:r>
      <w:r>
        <w:rPr>
          <w:rFonts w:ascii="楷体_GB2312" w:hAnsi="楷体_GB2312" w:cs="楷体" w:hint="eastAsia" w:eastAsia="楷体_GB2312"/>
          <w:sz w:val="28"/>
          <w:szCs w:val="28"/>
        </w:rPr>
        <w:t>月</w:t>
      </w:r>
      <w:r>
        <w:rPr>
          <w:rFonts w:eastAsia="楷体_GB2312" w:cs="楷体" w:hint="eastAsia" w:ascii="楷体_GB2312" w:hAnsi="楷体_GB2312"/>
          <w:sz w:val="28"/>
          <w:szCs w:val="28"/>
        </w:rPr>
        <w:t>2</w:t>
      </w:r>
      <w:r>
        <w:rPr>
          <w:rFonts w:ascii="楷体_GB2312" w:hAnsi="楷体_GB2312" w:cs="楷体" w:hint="eastAsia" w:eastAsia="楷体_GB2312"/>
          <w:sz w:val="28"/>
          <w:szCs w:val="28"/>
        </w:rPr>
        <w:t xml:space="preserve">日哈尔滨市第十五届人民代表大会常务委员会第十七次会议通过 </w:t>
      </w:r>
      <w:r>
        <w:rPr>
          <w:rFonts w:eastAsia="楷体_GB2312" w:cs="楷体" w:hint="eastAsia" w:ascii="楷体_GB2312" w:hAnsi="楷体_GB2312"/>
          <w:sz w:val="28"/>
          <w:szCs w:val="28"/>
        </w:rPr>
        <w:t>2018</w:t>
      </w:r>
      <w:r>
        <w:rPr>
          <w:rFonts w:ascii="楷体_GB2312" w:hAnsi="楷体_GB2312" w:cs="楷体" w:hint="eastAsia" w:eastAsia="楷体_GB2312"/>
          <w:sz w:val="28"/>
          <w:szCs w:val="28"/>
        </w:rPr>
        <w:t>年</w:t>
      </w:r>
      <w:r>
        <w:rPr>
          <w:rFonts w:eastAsia="楷体_GB2312" w:cs="楷体" w:hint="eastAsia" w:ascii="楷体_GB2312" w:hAnsi="楷体_GB2312"/>
          <w:sz w:val="28"/>
          <w:szCs w:val="28"/>
        </w:rPr>
        <w:t>12</w:t>
      </w:r>
      <w:r>
        <w:rPr>
          <w:rFonts w:ascii="楷体_GB2312" w:hAnsi="楷体_GB2312" w:cs="楷体" w:hint="eastAsia" w:eastAsia="楷体_GB2312"/>
          <w:sz w:val="28"/>
          <w:szCs w:val="28"/>
        </w:rPr>
        <w:t>月</w:t>
      </w:r>
      <w:r>
        <w:rPr>
          <w:rFonts w:eastAsia="楷体_GB2312" w:cs="楷体" w:hint="eastAsia" w:ascii="楷体_GB2312" w:hAnsi="楷体_GB2312"/>
          <w:sz w:val="28"/>
          <w:szCs w:val="28"/>
        </w:rPr>
        <w:t>27</w:t>
      </w:r>
      <w:r>
        <w:rPr>
          <w:rFonts w:ascii="楷体_GB2312" w:hAnsi="楷体_GB2312" w:cs="楷体" w:hint="eastAsia" w:eastAsia="楷体_GB2312"/>
          <w:sz w:val="28"/>
          <w:szCs w:val="28"/>
        </w:rPr>
        <w:t>日黑龙江省第十三届人民代表大会常务委员会第八次会议批准）</w:t>
      </w:r>
    </w:p>
    <w:p>
      <w:pPr>
        <w:pStyle w:val="Normal"/>
        <w:spacing w:lineRule="exact" w:line="240"/>
        <w:rPr>
          <w:rFonts w:ascii="仿宋_GB2312" w:hAnsi="仿宋_GB2312" w:eastAsia="仿宋_GB2312" w:cs="楷体" w:hint="eastAsia"/>
          <w:sz w:val="32"/>
          <w:szCs w:val="32"/>
        </w:rPr>
      </w:pPr>
      <w:r>
        <w:rPr>
          <w:rFonts w:eastAsia="仿宋_GB2312" w:cs="楷体" w:hint="eastAsia" w:ascii="仿宋_GB2312" w:hAnsi="仿宋_GB2312"/>
          <w:sz w:val="32"/>
          <w:szCs w:val="32"/>
        </w:rPr>
      </w:r>
    </w:p>
    <w:p>
      <w:pPr>
        <w:pStyle w:val="Normal"/>
        <w:spacing w:lineRule="exact" w:line="240"/>
        <w:ind w:firstLineChars="850" w:startChars="0" w:start="0" w:endChars="0" w:end="0"/>
        <w:rPr>
          <w:rFonts w:ascii="楷体" w:hAnsi="楷体" w:eastAsia="楷体" w:cs="楷体" w:hint="eastAsia"/>
          <w:sz w:val="32"/>
          <w:szCs w:val="32"/>
        </w:rPr>
      </w:pPr>
      <w:r>
        <w:rPr>
          <w:rFonts w:eastAsia="楷体" w:cs="楷体" w:hint="eastAsia" w:ascii="楷体" w:hAnsi="楷体"/>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w:t>
      </w:r>
      <w:r>
        <w:rPr>
          <w:rFonts w:ascii="仿宋_GB2312" w:hAnsi="仿宋_GB2312" w:cs="黑体;SimHei" w:hint="eastAsia" w:eastAsia="仿宋_GB2312"/>
          <w:sz w:val="32"/>
          <w:szCs w:val="32"/>
        </w:rPr>
        <w:t>维护</w:t>
      </w:r>
      <w:r>
        <w:rPr>
          <w:rFonts w:ascii="仿宋_GB2312" w:hAnsi="仿宋_GB2312" w:hint="eastAsia" w:eastAsia="仿宋_GB2312"/>
          <w:sz w:val="32"/>
          <w:szCs w:val="32"/>
        </w:rPr>
        <w:t>巡游出租汽车客运市场秩序，保障</w:t>
      </w:r>
      <w:r>
        <w:rPr>
          <w:rFonts w:ascii="仿宋_GB2312" w:hAnsi="仿宋_GB2312" w:cs="黑体;SimHei" w:hint="eastAsia" w:eastAsia="仿宋_GB2312"/>
          <w:sz w:val="32"/>
          <w:szCs w:val="32"/>
        </w:rPr>
        <w:t>巡游出租汽车</w:t>
      </w:r>
      <w:r>
        <w:rPr>
          <w:rFonts w:ascii="仿宋_GB2312" w:hAnsi="仿宋_GB2312" w:hint="eastAsia" w:eastAsia="仿宋_GB2312"/>
          <w:sz w:val="32"/>
          <w:szCs w:val="32"/>
        </w:rPr>
        <w:t>乘客</w:t>
      </w:r>
      <w:r>
        <w:rPr>
          <w:rFonts w:ascii="仿宋_GB2312" w:hAnsi="仿宋_GB2312" w:cs="黑体;SimHei" w:hint="eastAsia" w:eastAsia="仿宋_GB2312"/>
          <w:sz w:val="32"/>
          <w:szCs w:val="32"/>
        </w:rPr>
        <w:t>、经营者和驾驶员的合法权益</w:t>
      </w:r>
      <w:r>
        <w:rPr>
          <w:rFonts w:ascii="仿宋_GB2312" w:hAnsi="仿宋_GB2312" w:hint="eastAsia" w:eastAsia="仿宋_GB2312"/>
          <w:sz w:val="32"/>
          <w:szCs w:val="32"/>
        </w:rPr>
        <w:t>，根据有关法律、法规规定，结合本市实际，制定本规定。</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本市行政区域内查处假冒巡游出租汽车活动，适用本规定。</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本规定所称巡游出租汽车，是指依法取得行政许可，喷涂、安装出租汽车标识，在道路上巡游揽客、站点候客，为乘客提供出行服务的七座以下乘用车辆。</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巡游出租汽车专用车体颜色图案、专用营运标识和设施</w:t>
      </w:r>
      <w:r>
        <w:rPr>
          <w:rFonts w:ascii="仿宋_GB2312" w:hAnsi="仿宋_GB2312" w:cs="黑体;SimHei" w:hint="eastAsia" w:eastAsia="仿宋_GB2312"/>
          <w:sz w:val="32"/>
          <w:szCs w:val="32"/>
        </w:rPr>
        <w:t>设备</w:t>
      </w:r>
      <w:r>
        <w:rPr>
          <w:rFonts w:ascii="仿宋_GB2312" w:hAnsi="仿宋_GB2312" w:hint="eastAsia" w:eastAsia="仿宋_GB2312"/>
          <w:sz w:val="32"/>
          <w:szCs w:val="32"/>
        </w:rPr>
        <w:t>的样式</w:t>
      </w:r>
      <w:r>
        <w:rPr>
          <w:rFonts w:eastAsia="仿宋_GB2312" w:hint="eastAsia" w:ascii="仿宋_GB2312" w:hAnsi="仿宋_GB2312"/>
          <w:sz w:val="32"/>
          <w:szCs w:val="32"/>
        </w:rPr>
        <w:t>,</w:t>
      </w:r>
      <w:r>
        <w:rPr>
          <w:rFonts w:ascii="仿宋_GB2312" w:hAnsi="仿宋_GB2312" w:hint="eastAsia" w:eastAsia="仿宋_GB2312"/>
          <w:sz w:val="32"/>
          <w:szCs w:val="32"/>
        </w:rPr>
        <w:t>由交通运输行政主管部门</w:t>
      </w:r>
      <w:r>
        <w:rPr>
          <w:rFonts w:ascii="仿宋_GB2312" w:hAnsi="仿宋_GB2312" w:cs="黑体;SimHei" w:hint="eastAsia" w:eastAsia="仿宋_GB2312"/>
          <w:sz w:val="32"/>
          <w:szCs w:val="32"/>
        </w:rPr>
        <w:t>确定</w:t>
      </w:r>
      <w:r>
        <w:rPr>
          <w:rFonts w:eastAsia="仿宋_GB2312" w:cs="黑体;SimHei" w:hint="eastAsia" w:ascii="仿宋_GB2312" w:hAnsi="仿宋_GB2312"/>
          <w:sz w:val="32"/>
          <w:szCs w:val="32"/>
        </w:rPr>
        <w:t>,</w:t>
      </w:r>
      <w:r>
        <w:rPr>
          <w:rFonts w:ascii="仿宋_GB2312" w:hAnsi="仿宋_GB2312" w:cs="黑体;SimHei" w:hint="eastAsia" w:eastAsia="仿宋_GB2312"/>
          <w:sz w:val="32"/>
          <w:szCs w:val="32"/>
        </w:rPr>
        <w:t>并</w:t>
      </w:r>
      <w:r>
        <w:rPr>
          <w:rFonts w:ascii="仿宋_GB2312" w:hAnsi="仿宋_GB2312" w:hint="eastAsia" w:eastAsia="仿宋_GB2312"/>
          <w:sz w:val="32"/>
          <w:szCs w:val="32"/>
        </w:rPr>
        <w:t>向社会公告。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交通运输行政主管部门应当</w:t>
      </w:r>
      <w:r>
        <w:rPr>
          <w:rFonts w:ascii="仿宋_GB2312" w:hAnsi="仿宋_GB2312" w:cs="黑体;SimHei" w:hint="eastAsia" w:eastAsia="仿宋_GB2312"/>
          <w:sz w:val="32"/>
          <w:szCs w:val="32"/>
        </w:rPr>
        <w:t>向社会宣传假冒巡游出租汽车车辆的识别方法。</w:t>
      </w:r>
    </w:p>
    <w:p>
      <w:pPr>
        <w:pStyle w:val="Normal"/>
        <w:ind w:firstLine="660" w:end="0"/>
        <w:rPr>
          <w:rFonts w:ascii="仿宋_GB2312" w:hAnsi="仿宋_GB2312" w:eastAsia="仿宋_GB2312" w:hint="eastAsia"/>
          <w:sz w:val="32"/>
          <w:szCs w:val="32"/>
          <w:bdr w:val="single" w:sz="4" w:space="0" w:color="000000"/>
        </w:rPr>
      </w:pPr>
      <w:r>
        <w:rPr>
          <w:rFonts w:ascii="黑体;SimHei" w:hAnsi="黑体;SimHei" w:cs="黑体;SimHei" w:hint="eastAsia" w:eastAsia="黑体;SimHei"/>
          <w:sz w:val="32"/>
          <w:szCs w:val="32"/>
        </w:rPr>
        <w:t>第四条</w:t>
      </w:r>
      <w:r>
        <w:rPr>
          <w:rFonts w:ascii="仿宋_GB2312" w:hAnsi="仿宋_GB2312" w:cs="黑体;SimHei" w:hint="eastAsia" w:eastAsia="仿宋_GB2312"/>
          <w:sz w:val="32"/>
          <w:szCs w:val="32"/>
        </w:rPr>
        <w:t xml:space="preserve"> 交通运输行政主管部门应当建立假冒巡游出租汽车举报制度，公布举报电话、电子邮箱等举报方式。交通运输行政主管部门应当及时受理举报，进行调查处理，七个工作日内将办理情况告知实名举报人</w:t>
      </w:r>
      <w:r>
        <w:rPr>
          <w:rFonts w:eastAsia="仿宋_GB2312" w:cs="黑体;SimHei" w:hint="eastAsia" w:ascii="仿宋_GB2312" w:hAnsi="仿宋_GB2312"/>
          <w:sz w:val="32"/>
          <w:szCs w:val="32"/>
        </w:rPr>
        <w:t>,</w:t>
      </w:r>
      <w:r>
        <w:rPr>
          <w:rFonts w:ascii="仿宋_GB2312" w:hAnsi="仿宋_GB2312" w:cs="黑体;SimHei" w:hint="eastAsia" w:eastAsia="仿宋_GB2312"/>
          <w:sz w:val="32"/>
          <w:szCs w:val="32"/>
        </w:rPr>
        <w:t>及时反馈处理结果。</w:t>
      </w:r>
    </w:p>
    <w:p>
      <w:pPr>
        <w:pStyle w:val="Normal"/>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cs="黑体;SimHei" w:hint="eastAsia" w:eastAsia="仿宋_GB2312"/>
          <w:sz w:val="32"/>
          <w:szCs w:val="32"/>
        </w:rPr>
        <w:t xml:space="preserve">交通运输行政主管部门应当建立举报奖励制度，举报情况经查证属实，给予举报人奖励。奖励办法由交通运输行政主管部门另行制定。  </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除巡游出租汽车外，其他车辆不得喷涂成专用或者相类似的巡游出租汽车车体颜色图案，不得安装专用或者相类似的巡游出租汽车标志灯、空车待租标志、计价器、智能服务车载系统等营运标识和设施</w:t>
      </w:r>
      <w:r>
        <w:rPr>
          <w:rFonts w:ascii="仿宋_GB2312" w:hAnsi="仿宋_GB2312" w:cs="黑体;SimHei" w:hint="eastAsia" w:eastAsia="仿宋_GB2312"/>
          <w:sz w:val="32"/>
          <w:szCs w:val="32"/>
        </w:rPr>
        <w:t>设备</w:t>
      </w:r>
      <w:r>
        <w:rPr>
          <w:rFonts w:ascii="仿宋_GB2312" w:hAnsi="仿宋_GB2312" w:hint="eastAsia" w:eastAsia="仿宋_GB2312"/>
          <w:sz w:val="32"/>
          <w:szCs w:val="32"/>
        </w:rPr>
        <w:t>，假冒巡游出租汽车。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违反本条前款规定，由交通运输行政主管部门依据管理权限，按照下列规定处罚：</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（一）安装专用或者相类似的巡游出租汽车营运标识</w:t>
      </w:r>
      <w:r>
        <w:rPr>
          <w:rFonts w:ascii="仿宋_GB2312" w:hAnsi="仿宋_GB2312" w:cs="黑体;SimHei" w:hint="eastAsia" w:eastAsia="仿宋_GB2312"/>
          <w:sz w:val="32"/>
          <w:szCs w:val="32"/>
        </w:rPr>
        <w:t>、</w:t>
      </w:r>
      <w:r>
        <w:rPr>
          <w:rFonts w:ascii="仿宋_GB2312" w:hAnsi="仿宋_GB2312" w:hint="eastAsia" w:eastAsia="仿宋_GB2312"/>
          <w:sz w:val="32"/>
          <w:szCs w:val="32"/>
        </w:rPr>
        <w:t>设施</w:t>
      </w:r>
      <w:r>
        <w:rPr>
          <w:rFonts w:ascii="仿宋_GB2312" w:hAnsi="仿宋_GB2312" w:cs="黑体;SimHei" w:hint="eastAsia" w:eastAsia="仿宋_GB2312"/>
          <w:sz w:val="32"/>
          <w:szCs w:val="32"/>
        </w:rPr>
        <w:t>设备</w:t>
      </w:r>
      <w:r>
        <w:rPr>
          <w:rFonts w:ascii="仿宋_GB2312" w:hAnsi="仿宋_GB2312" w:hint="eastAsia" w:eastAsia="仿宋_GB2312"/>
          <w:sz w:val="32"/>
          <w:szCs w:val="32"/>
        </w:rPr>
        <w:t>的，暂扣车辆，没收安装的专用或者相类似的营运标识和设施</w:t>
      </w:r>
      <w:r>
        <w:rPr>
          <w:rFonts w:ascii="仿宋_GB2312" w:hAnsi="仿宋_GB2312" w:cs="黑体;SimHei" w:hint="eastAsia" w:eastAsia="仿宋_GB2312"/>
          <w:sz w:val="32"/>
          <w:szCs w:val="32"/>
        </w:rPr>
        <w:t>设备</w:t>
      </w:r>
      <w:r>
        <w:rPr>
          <w:rFonts w:ascii="仿宋_GB2312" w:hAnsi="仿宋_GB2312" w:hint="eastAsia" w:eastAsia="仿宋_GB2312"/>
          <w:sz w:val="32"/>
          <w:szCs w:val="32"/>
        </w:rPr>
        <w:t>，</w:t>
      </w:r>
      <w:r>
        <w:rPr>
          <w:rFonts w:ascii="仿宋_GB2312" w:hAnsi="仿宋_GB2312" w:cs="黑体;SimHei" w:hint="eastAsia" w:eastAsia="仿宋_GB2312"/>
          <w:sz w:val="32"/>
          <w:szCs w:val="32"/>
        </w:rPr>
        <w:t>安装一项的</w:t>
      </w:r>
      <w:r>
        <w:rPr>
          <w:rFonts w:ascii="仿宋_GB2312" w:hAnsi="仿宋_GB2312" w:hint="eastAsia" w:eastAsia="仿宋_GB2312"/>
          <w:sz w:val="32"/>
          <w:szCs w:val="32"/>
        </w:rPr>
        <w:t>处五千元</w:t>
      </w:r>
      <w:r>
        <w:rPr>
          <w:rFonts w:ascii="仿宋_GB2312" w:hAnsi="仿宋_GB2312" w:cs="黑体;SimHei" w:hint="eastAsia" w:eastAsia="仿宋_GB2312"/>
          <w:sz w:val="32"/>
          <w:szCs w:val="32"/>
        </w:rPr>
        <w:t>罚款、安装二项</w:t>
      </w:r>
      <w:r>
        <w:rPr>
          <w:rFonts w:ascii="仿宋_GB2312" w:hAnsi="仿宋_GB2312" w:hint="eastAsia" w:eastAsia="仿宋_GB2312"/>
          <w:sz w:val="32"/>
          <w:szCs w:val="32"/>
        </w:rPr>
        <w:t>以上</w:t>
      </w:r>
      <w:r>
        <w:rPr>
          <w:rFonts w:ascii="仿宋_GB2312" w:hAnsi="仿宋_GB2312" w:cs="黑体;SimHei" w:hint="eastAsia" w:eastAsia="仿宋_GB2312"/>
          <w:sz w:val="32"/>
          <w:szCs w:val="32"/>
        </w:rPr>
        <w:t>的处</w:t>
      </w:r>
      <w:r>
        <w:rPr>
          <w:rFonts w:ascii="仿宋_GB2312" w:hAnsi="仿宋_GB2312" w:hint="eastAsia" w:eastAsia="仿宋_GB2312"/>
          <w:sz w:val="32"/>
          <w:szCs w:val="32"/>
        </w:rPr>
        <w:t>一万元罚款；</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（二）喷涂成专用或者相类似的巡游出租汽车车体颜色图案的，</w:t>
      </w:r>
      <w:r>
        <w:rPr>
          <w:rFonts w:ascii="仿宋_GB2312" w:hAnsi="仿宋_GB2312" w:cs="黑体;SimHei" w:hint="eastAsia" w:eastAsia="仿宋_GB2312"/>
          <w:sz w:val="32"/>
          <w:szCs w:val="32"/>
        </w:rPr>
        <w:t>暂扣</w:t>
      </w:r>
      <w:r>
        <w:rPr>
          <w:rFonts w:ascii="仿宋_GB2312" w:hAnsi="仿宋_GB2312" w:hint="eastAsia" w:eastAsia="仿宋_GB2312"/>
          <w:sz w:val="32"/>
          <w:szCs w:val="32"/>
        </w:rPr>
        <w:t>车辆</w:t>
      </w:r>
      <w:r>
        <w:rPr>
          <w:rFonts w:ascii="仿宋_GB2312" w:hAnsi="仿宋_GB2312" w:cs="黑体;SimHei" w:hint="eastAsia" w:eastAsia="仿宋_GB2312"/>
          <w:sz w:val="32"/>
          <w:szCs w:val="32"/>
        </w:rPr>
        <w:t>，责令限期改正，并处二万元罚款</w:t>
      </w:r>
      <w:r>
        <w:rPr>
          <w:rFonts w:ascii="仿宋_GB2312" w:hAnsi="仿宋_GB2312" w:hint="eastAsia" w:eastAsia="仿宋_GB2312"/>
          <w:sz w:val="32"/>
          <w:szCs w:val="32"/>
        </w:rPr>
        <w:t>；</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（三）喷涂成专用或者相类似的巡游出租汽车车体颜色图案，并安装专用或者相类似的巡游出租汽车营运标识</w:t>
      </w:r>
      <w:r>
        <w:rPr>
          <w:rFonts w:ascii="仿宋_GB2312" w:hAnsi="仿宋_GB2312" w:cs="黑体;SimHei" w:hint="eastAsia" w:eastAsia="仿宋_GB2312"/>
          <w:sz w:val="32"/>
          <w:szCs w:val="32"/>
        </w:rPr>
        <w:t>、</w:t>
      </w:r>
      <w:r>
        <w:rPr>
          <w:rFonts w:ascii="仿宋_GB2312" w:hAnsi="仿宋_GB2312" w:hint="eastAsia" w:eastAsia="仿宋_GB2312"/>
          <w:sz w:val="32"/>
          <w:szCs w:val="32"/>
        </w:rPr>
        <w:t>设施</w:t>
      </w:r>
      <w:r>
        <w:rPr>
          <w:rFonts w:ascii="仿宋_GB2312" w:hAnsi="仿宋_GB2312" w:cs="黑体;SimHei" w:hint="eastAsia" w:eastAsia="仿宋_GB2312"/>
          <w:sz w:val="32"/>
          <w:szCs w:val="32"/>
        </w:rPr>
        <w:t>设备</w:t>
      </w:r>
      <w:r>
        <w:rPr>
          <w:rFonts w:ascii="仿宋_GB2312" w:hAnsi="仿宋_GB2312" w:hint="eastAsia" w:eastAsia="仿宋_GB2312"/>
          <w:sz w:val="32"/>
          <w:szCs w:val="32"/>
        </w:rPr>
        <w:t>的，没收假冒车辆及安装的专用或者相类似的营运标识和设施</w:t>
      </w:r>
      <w:r>
        <w:rPr>
          <w:rFonts w:ascii="仿宋_GB2312" w:hAnsi="仿宋_GB2312" w:cs="黑体;SimHei" w:hint="eastAsia" w:eastAsia="仿宋_GB2312"/>
          <w:sz w:val="32"/>
          <w:szCs w:val="32"/>
        </w:rPr>
        <w:t>设备</w:t>
      </w:r>
      <w:r>
        <w:rPr>
          <w:rFonts w:ascii="仿宋_GB2312" w:hAnsi="仿宋_GB2312" w:hint="eastAsia" w:eastAsia="仿宋_GB2312"/>
          <w:sz w:val="32"/>
          <w:szCs w:val="32"/>
        </w:rPr>
        <w:t>。</w:t>
      </w:r>
    </w:p>
    <w:p>
      <w:pPr>
        <w:pStyle w:val="Normal"/>
        <w:ind w:firstLineChars="200" w:startChars="0" w:start="0" w:endChars="0" w:end="0"/>
        <w:rPr/>
      </w:pP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任何单位和个人不得为除巡游出租汽车以外的其他车辆喷涂专用或者相类似的巡游出租汽车车体颜色图案、安装专用或者相类似的巡游出租汽车营运标识和设施</w:t>
      </w:r>
      <w:r>
        <w:rPr>
          <w:rFonts w:ascii="仿宋_GB2312" w:hAnsi="仿宋_GB2312" w:cs="黑体;SimHei" w:hint="eastAsia" w:eastAsia="仿宋_GB2312"/>
          <w:sz w:val="32"/>
          <w:szCs w:val="32"/>
        </w:rPr>
        <w:t>设备</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违反本条前款规定的，由交通运输行政主管部门依据管理权限，</w:t>
      </w:r>
      <w:r>
        <w:rPr>
          <w:rFonts w:ascii="仿宋_GB2312" w:hAnsi="仿宋_GB2312" w:cs="黑体;SimHei" w:hint="eastAsia" w:eastAsia="仿宋_GB2312"/>
          <w:sz w:val="32"/>
          <w:szCs w:val="32"/>
        </w:rPr>
        <w:t>没收违法所得</w:t>
      </w:r>
      <w:r>
        <w:rPr>
          <w:rFonts w:ascii="仿宋_GB2312" w:hAnsi="仿宋_GB2312" w:hint="eastAsia" w:eastAsia="仿宋_GB2312"/>
          <w:sz w:val="32"/>
          <w:szCs w:val="32"/>
        </w:rPr>
        <w:t>，并对个人处三万元罚款、对单位处五万元罚款。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退出营运的巡游出租汽车，未达到报废标准的，经营者应当清除巡游出租汽车专用车体颜色图案、拆除专用营运标识和设施</w:t>
      </w:r>
      <w:r>
        <w:rPr>
          <w:rFonts w:ascii="仿宋_GB2312" w:hAnsi="仿宋_GB2312" w:cs="黑体;SimHei" w:hint="eastAsia" w:eastAsia="仿宋_GB2312"/>
          <w:sz w:val="32"/>
          <w:szCs w:val="32"/>
        </w:rPr>
        <w:t>设备</w:t>
      </w:r>
      <w:r>
        <w:rPr>
          <w:rFonts w:ascii="仿宋_GB2312" w:hAnsi="仿宋_GB2312" w:hint="eastAsia" w:eastAsia="仿宋_GB2312"/>
          <w:sz w:val="32"/>
          <w:szCs w:val="32"/>
        </w:rPr>
        <w:t>后，向交通运输行政主管部门办理车辆营运证件注销手续，并向公安机关交通管理部门办理车辆使用性质变更登记。</w:t>
      </w:r>
    </w:p>
    <w:p>
      <w:pPr>
        <w:pStyle w:val="Normal"/>
        <w:ind w:firstLineChars="200" w:startChars="0" w:start="0" w:endChars="0" w:end="0"/>
        <w:rPr/>
      </w:pPr>
      <w:r>
        <w:rPr>
          <w:rFonts w:ascii="仿宋_GB2312" w:hAnsi="仿宋_GB2312" w:hint="eastAsia" w:eastAsia="仿宋_GB2312"/>
          <w:sz w:val="32"/>
          <w:szCs w:val="32"/>
        </w:rPr>
        <w:t>巡游出租汽车经营者在办理车辆更新手续时，应当向交通运输行政主管部门提交原车辆处理情况及流向证明材料</w:t>
      </w:r>
      <w:r>
        <w:rPr>
          <w:rFonts w:ascii="仿宋_GB2312" w:hAnsi="仿宋_GB2312" w:cs="黑体;SimHei" w:hint="eastAsia" w:eastAsia="仿宋_GB2312"/>
          <w:sz w:val="32"/>
          <w:szCs w:val="32"/>
        </w:rPr>
        <w:t>；未提交的，交通运输行政主管部门</w:t>
      </w:r>
      <w:r>
        <w:rPr>
          <w:rFonts w:ascii="仿宋_GB2312" w:hAnsi="仿宋_GB2312" w:hint="eastAsia" w:eastAsia="仿宋_GB2312"/>
          <w:sz w:val="32"/>
          <w:szCs w:val="32"/>
        </w:rPr>
        <w:t>不</w:t>
      </w:r>
      <w:r>
        <w:rPr>
          <w:rFonts w:ascii="仿宋_GB2312" w:hAnsi="仿宋_GB2312" w:cs="黑体;SimHei" w:hint="eastAsia" w:eastAsia="仿宋_GB2312"/>
          <w:sz w:val="32"/>
          <w:szCs w:val="32"/>
        </w:rPr>
        <w:t>得</w:t>
      </w:r>
      <w:r>
        <w:rPr>
          <w:rFonts w:ascii="仿宋_GB2312" w:hAnsi="仿宋_GB2312" w:hint="eastAsia" w:eastAsia="仿宋_GB2312"/>
          <w:sz w:val="32"/>
          <w:szCs w:val="32"/>
        </w:rPr>
        <w:t>办理更新。</w:t>
      </w:r>
    </w:p>
    <w:p>
      <w:pPr>
        <w:pStyle w:val="Normal"/>
        <w:ind w:firstLineChars="200" w:startChars="0" w:start="0" w:endChars="0" w:end="0"/>
        <w:rPr>
          <w:rFonts w:ascii="仿宋_GB2312" w:hAnsi="仿宋_GB2312" w:eastAsia="仿宋_GB2312" w:hint="eastAsia"/>
          <w:sz w:val="32"/>
          <w:szCs w:val="32"/>
          <w:bdr w:val="single" w:sz="4" w:space="0" w:color="00000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交通运输行政主管部门与公安机关交通管理部门</w:t>
      </w:r>
      <w:r>
        <w:rPr>
          <w:rFonts w:ascii="仿宋_GB2312" w:hAnsi="仿宋_GB2312" w:cs="黑体;SimHei" w:hint="eastAsia" w:eastAsia="仿宋_GB2312"/>
          <w:sz w:val="32"/>
          <w:szCs w:val="32"/>
        </w:rPr>
        <w:t>应当</w:t>
      </w:r>
      <w:r>
        <w:rPr>
          <w:rFonts w:ascii="仿宋_GB2312" w:hAnsi="仿宋_GB2312" w:hint="eastAsia" w:eastAsia="仿宋_GB2312"/>
          <w:sz w:val="32"/>
          <w:szCs w:val="32"/>
        </w:rPr>
        <w:t>建立执法信息沟通和工作配合机制。</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公安机关交通管理部门在道路交通安全管理中发现涉嫌假冒巡游出租汽车的，应当暂扣车辆，并于三个工作日内移送交通运输行政主管部门予以查处。在机动车登记和检验中发现涉嫌假冒巡游出租汽车的，应当通知交通运输行政主管部门予以查处，不得办理机动车登记，不得核发机动车检验合格标志。</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本规定自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sz w:val="32"/>
          <w:szCs w:val="32"/>
        </w:rPr>
      </w:pPr>
      <w:r>
        <w:rPr>
          <w:rFonts w:eastAsia="仿宋_GB2312" w:ascii="仿宋_GB2312" w:hAnsi="仿宋_GB2312"/>
          <w:sz w:val="32"/>
          <w:szCs w:val="32"/>
        </w:rPr>
      </w:r>
    </w:p>
    <w:p>
      <w:pPr>
        <w:pStyle w:val="Normal"/>
        <w:rPr>
          <w:rFonts w:ascii="仿宋_GB2312" w:hAnsi="仿宋_GB2312" w:eastAsia="仿宋_GB2312"/>
          <w:sz w:val="32"/>
          <w:szCs w:val="32"/>
        </w:rPr>
      </w:pPr>
      <w:r>
        <w:rPr>
          <w:rFonts w:eastAsia="仿宋_GB2312"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SimSun"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SimSun" w:cs="Times New Roman"/>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2018-12-28T09:25:00Z</dcterms:created>
  <dc:creator>rd</dc:creator>
  <dc:description/>
  <cp:keywords/>
  <dc:language>en-US</dc:language>
  <cp:lastModifiedBy>Administrator</cp:lastModifiedBy>
  <cp:lastPrinted>2018-11-01T13:41:00Z</cp:lastPrinted>
  <dcterms:modified xsi:type="dcterms:W3CDTF">2019-01-07T15:33:00Z</dcterms:modified>
  <cp:revision>13</cp:revision>
  <dc:subject/>
  <dc:title/>
</cp:coreProperties>
</file>