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start"/>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40"/>
        <w:jc w:val="center"/>
        <w:rPr>
          <w:rFonts w:ascii="方正小标宋简体" w:hAnsi="方正小标宋简体" w:eastAsia="方正小标宋简体" w:cs="方正小标宋简体" w:hint="eastAsia"/>
          <w:sz w:val="44"/>
          <w:szCs w:val="44"/>
        </w:rPr>
      </w:pPr>
      <w:r>
        <w:rPr>
          <w:rFonts w:ascii="方正小标宋简体" w:hAnsi="方正小标宋简体" w:cs="方正小标宋简体" w:hint="eastAsia" w:eastAsia="方正小标宋简体"/>
          <w:sz w:val="44"/>
          <w:szCs w:val="44"/>
        </w:rPr>
        <w:t>黑龙江省人民代表大会常务委员会</w:t>
      </w:r>
    </w:p>
    <w:p>
      <w:pPr>
        <w:pStyle w:val="Normal"/>
        <w:spacing w:lineRule="exact" w:line="640"/>
        <w:jc w:val="center"/>
        <w:rPr>
          <w:rFonts w:ascii="方正小标宋简体" w:hAnsi="方正小标宋简体" w:eastAsia="方正小标宋简体" w:cs="方正小标宋简体" w:hint="eastAsia"/>
          <w:sz w:val="44"/>
          <w:szCs w:val="44"/>
        </w:rPr>
      </w:pPr>
      <w:r>
        <w:rPr>
          <w:rFonts w:ascii="方正小标宋简体" w:hAnsi="方正小标宋简体" w:cs="方正小标宋简体" w:hint="eastAsia" w:eastAsia="方正小标宋简体"/>
          <w:sz w:val="44"/>
          <w:szCs w:val="44"/>
        </w:rPr>
        <w:t>关于实施契税法授权事项的决定</w:t>
      </w:r>
    </w:p>
    <w:p>
      <w:pPr>
        <w:pStyle w:val="Normal"/>
        <w:spacing w:lineRule="exact" w:line="640"/>
        <w:jc w:val="center"/>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Normal"/>
        <w:spacing w:lineRule="exact" w:line="640"/>
        <w:jc w:val="center"/>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t>(2021</w:t>
      </w:r>
      <w:r>
        <w:rPr>
          <w:rFonts w:ascii="Times New Roman" w:hAnsi="Times New Roman" w:cs="Times New Roman" w:hint="eastAsia" w:eastAsia="仿宋_GB2312"/>
          <w:sz w:val="32"/>
          <w:szCs w:val="32"/>
        </w:rPr>
        <w:t>年</w:t>
      </w:r>
      <w:r>
        <w:rPr>
          <w:rFonts w:eastAsia="仿宋_GB2312" w:cs="Times New Roman" w:hint="eastAsia" w:ascii="Times New Roman" w:hAnsi="Times New Roman"/>
          <w:sz w:val="32"/>
          <w:szCs w:val="32"/>
        </w:rPr>
        <w:t>6</w:t>
      </w:r>
      <w:r>
        <w:rPr>
          <w:rFonts w:ascii="Times New Roman" w:hAnsi="Times New Roman" w:cs="Times New Roman" w:hint="eastAsia" w:eastAsia="仿宋_GB2312"/>
          <w:sz w:val="32"/>
          <w:szCs w:val="32"/>
        </w:rPr>
        <w:t>月</w:t>
      </w:r>
      <w:r>
        <w:rPr>
          <w:rFonts w:eastAsia="仿宋_GB2312" w:cs="Times New Roman" w:hint="eastAsia" w:ascii="Times New Roman" w:hAnsi="Times New Roman"/>
          <w:sz w:val="32"/>
          <w:szCs w:val="32"/>
        </w:rPr>
        <w:t>24</w:t>
      </w:r>
      <w:r>
        <w:rPr>
          <w:rFonts w:ascii="Times New Roman" w:hAnsi="Times New Roman" w:cs="Times New Roman" w:hint="eastAsia" w:eastAsia="仿宋_GB2312"/>
          <w:sz w:val="32"/>
          <w:szCs w:val="32"/>
        </w:rPr>
        <w:t>日黑龙江省第十三届人民代表大会</w:t>
      </w:r>
    </w:p>
    <w:p>
      <w:pPr>
        <w:pStyle w:val="Normal"/>
        <w:spacing w:lineRule="exact" w:line="640"/>
        <w:jc w:val="center"/>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常务委员会第二十六次会议通过</w:t>
      </w:r>
      <w:r>
        <w:rPr>
          <w:rFonts w:eastAsia="仿宋_GB2312" w:cs="Times New Roman" w:hint="eastAsia" w:ascii="Times New Roman" w:hAnsi="Times New Roman"/>
          <w:sz w:val="32"/>
          <w:szCs w:val="32"/>
        </w:rPr>
        <w:t>)</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spacing w:lineRule="exact" w:line="540"/>
        <w:ind w:firstLineChars="200" w:startChars="0" w:start="0" w:endChars="0" w:end="0"/>
        <w:rPr/>
      </w:pPr>
      <w:r>
        <w:rPr>
          <w:rFonts w:ascii="Times New Roman" w:hAnsi="Times New Roman" w:cs="Times New Roman" w:eastAsia="仿宋_GB2312"/>
          <w:sz w:val="32"/>
          <w:szCs w:val="32"/>
        </w:rPr>
        <w:t>根据《中华人民共和国契税法》有关授权规定，</w:t>
      </w:r>
      <w:r>
        <w:rPr>
          <w:rFonts w:ascii="Times New Roman" w:hAnsi="Times New Roman" w:cs="Times New Roman" w:hint="eastAsia" w:eastAsia="仿宋_GB2312"/>
          <w:sz w:val="32"/>
          <w:szCs w:val="32"/>
        </w:rPr>
        <w:t>结合本省实际，现对契税的</w:t>
      </w:r>
      <w:r>
        <w:rPr>
          <w:rFonts w:ascii="Times New Roman" w:hAnsi="Times New Roman" w:cs="Times New Roman" w:eastAsia="仿宋_GB2312"/>
          <w:sz w:val="32"/>
          <w:szCs w:val="32"/>
        </w:rPr>
        <w:t>具体适用税率</w:t>
      </w:r>
      <w:r>
        <w:rPr>
          <w:rFonts w:ascii="Times New Roman" w:hAnsi="Times New Roman" w:cs="Times New Roman" w:hint="eastAsia" w:eastAsia="仿宋_GB2312"/>
          <w:sz w:val="32"/>
          <w:szCs w:val="32"/>
        </w:rPr>
        <w:t>以及</w:t>
      </w:r>
      <w:r>
        <w:rPr>
          <w:rFonts w:ascii="Times New Roman" w:hAnsi="Times New Roman" w:cs="Times New Roman" w:eastAsia="仿宋_GB2312"/>
          <w:sz w:val="32"/>
          <w:szCs w:val="32"/>
        </w:rPr>
        <w:t>减征</w:t>
      </w:r>
      <w:r>
        <w:rPr>
          <w:rFonts w:ascii="Times New Roman" w:hAnsi="Times New Roman" w:cs="Times New Roman" w:hint="eastAsia" w:eastAsia="仿宋_GB2312"/>
          <w:sz w:val="32"/>
          <w:szCs w:val="32"/>
        </w:rPr>
        <w:t>或者</w:t>
      </w:r>
      <w:r>
        <w:rPr>
          <w:rFonts w:ascii="Times New Roman" w:hAnsi="Times New Roman" w:cs="Times New Roman" w:eastAsia="仿宋_GB2312"/>
          <w:sz w:val="32"/>
          <w:szCs w:val="32"/>
        </w:rPr>
        <w:t>免征的具体办法作如下决定：</w:t>
      </w:r>
    </w:p>
    <w:p>
      <w:pPr>
        <w:pStyle w:val="Normal"/>
        <w:spacing w:lineRule="exact" w:line="540"/>
        <w:ind w:firstLineChars="200" w:startChars="0" w:start="0" w:endChars="0" w:end="0"/>
        <w:rPr/>
      </w:pPr>
      <w:r>
        <w:rPr>
          <w:rFonts w:ascii="Times New Roman" w:hAnsi="Times New Roman" w:cs="Times New Roman" w:eastAsia="仿宋_GB2312"/>
          <w:sz w:val="32"/>
          <w:szCs w:val="32"/>
        </w:rPr>
        <w:t>一、</w:t>
      </w:r>
      <w:r>
        <w:rPr>
          <w:rFonts w:ascii="Times New Roman" w:hAnsi="Times New Roman" w:cs="Times New Roman" w:hint="eastAsia" w:eastAsia="仿宋_GB2312"/>
          <w:sz w:val="32"/>
          <w:szCs w:val="32"/>
        </w:rPr>
        <w:t>本省契税适用税率为百分之三。</w:t>
      </w:r>
    </w:p>
    <w:p>
      <w:pPr>
        <w:pStyle w:val="Normal"/>
        <w:spacing w:lineRule="exact" w:line="540"/>
        <w:ind w:firstLineChars="200" w:startChars="0" w:start="0" w:endChars="0" w:end="0"/>
        <w:rPr/>
      </w:pPr>
      <w:r>
        <w:rPr>
          <w:rFonts w:ascii="Times New Roman" w:hAnsi="Times New Roman" w:cs="Times New Roman" w:eastAsia="仿宋_GB2312"/>
          <w:sz w:val="32"/>
          <w:szCs w:val="32"/>
        </w:rPr>
        <w:t>二、</w:t>
      </w:r>
      <w:r>
        <w:rPr>
          <w:rFonts w:ascii="Times New Roman" w:hAnsi="Times New Roman" w:cs="Times New Roman" w:hint="eastAsia" w:eastAsia="仿宋_GB2312"/>
          <w:sz w:val="32"/>
          <w:szCs w:val="32"/>
        </w:rPr>
        <w:t>符合</w:t>
      </w:r>
      <w:r>
        <w:rPr>
          <w:rFonts w:ascii="Times New Roman" w:hAnsi="Times New Roman" w:cs="Times New Roman" w:eastAsia="仿宋_GB2312"/>
          <w:sz w:val="32"/>
          <w:szCs w:val="32"/>
        </w:rPr>
        <w:t>《中华人民共和国契税法》</w:t>
      </w:r>
      <w:r>
        <w:rPr>
          <w:rFonts w:ascii="Times New Roman" w:hAnsi="Times New Roman" w:cs="Times New Roman" w:hint="eastAsia" w:eastAsia="仿宋_GB2312"/>
          <w:sz w:val="32"/>
          <w:szCs w:val="32"/>
        </w:rPr>
        <w:t>第七条规定情形的，按照以下办法</w:t>
      </w:r>
      <w:r>
        <w:rPr>
          <w:rFonts w:ascii="Times New Roman" w:hAnsi="Times New Roman" w:cs="Times New Roman" w:eastAsia="仿宋_GB2312"/>
          <w:sz w:val="32"/>
          <w:szCs w:val="32"/>
        </w:rPr>
        <w:t>减征</w:t>
      </w:r>
      <w:r>
        <w:rPr>
          <w:rFonts w:ascii="Times New Roman" w:hAnsi="Times New Roman" w:cs="Times New Roman" w:hint="eastAsia" w:eastAsia="仿宋_GB2312"/>
          <w:sz w:val="32"/>
          <w:szCs w:val="32"/>
        </w:rPr>
        <w:t>或者</w:t>
      </w:r>
      <w:r>
        <w:rPr>
          <w:rFonts w:ascii="Times New Roman" w:hAnsi="Times New Roman" w:cs="Times New Roman" w:eastAsia="仿宋_GB2312"/>
          <w:sz w:val="32"/>
          <w:szCs w:val="32"/>
        </w:rPr>
        <w:t>免征</w:t>
      </w:r>
      <w:r>
        <w:rPr>
          <w:rFonts w:ascii="Times New Roman" w:hAnsi="Times New Roman" w:cs="Times New Roman" w:hint="eastAsia" w:eastAsia="仿宋_GB2312"/>
          <w:sz w:val="32"/>
          <w:szCs w:val="32"/>
        </w:rPr>
        <w:t>契税：</w:t>
      </w:r>
    </w:p>
    <w:p>
      <w:pPr>
        <w:pStyle w:val="Normal"/>
        <w:spacing w:lineRule="exact" w:line="540"/>
        <w:ind w:firstLineChars="200" w:startChars="0" w:start="0" w:endChars="0" w:end="0"/>
        <w:rPr/>
      </w:pPr>
      <w:r>
        <w:rPr>
          <w:rFonts w:ascii="Times New Roman" w:hAnsi="Times New Roman" w:cs="Times New Roman" w:eastAsia="仿宋_GB2312"/>
          <w:sz w:val="32"/>
          <w:szCs w:val="32"/>
        </w:rPr>
        <w:t>（一）因土地、房屋被县级以上</w:t>
      </w:r>
      <w:r>
        <w:rPr>
          <w:rFonts w:ascii="Times New Roman" w:hAnsi="Times New Roman" w:cs="Times New Roman" w:hint="eastAsia" w:eastAsia="仿宋_GB2312"/>
          <w:sz w:val="32"/>
          <w:szCs w:val="32"/>
        </w:rPr>
        <w:t>人民</w:t>
      </w:r>
      <w:r>
        <w:rPr>
          <w:rFonts w:ascii="Times New Roman" w:hAnsi="Times New Roman" w:cs="Times New Roman" w:eastAsia="仿宋_GB2312"/>
          <w:sz w:val="32"/>
          <w:szCs w:val="32"/>
        </w:rPr>
        <w:t>政府征收、征用，</w:t>
      </w:r>
      <w:r>
        <w:rPr>
          <w:rFonts w:ascii="Times New Roman" w:hAnsi="Times New Roman" w:cs="Times New Roman" w:hint="eastAsia" w:eastAsia="仿宋_GB2312"/>
          <w:sz w:val="32"/>
          <w:szCs w:val="32"/>
        </w:rPr>
        <w:t>重新承受土地、房屋权属的，</w:t>
      </w:r>
      <w:r>
        <w:rPr>
          <w:rFonts w:ascii="Times New Roman" w:hAnsi="Times New Roman" w:cs="Times New Roman" w:eastAsia="仿宋_GB2312"/>
          <w:sz w:val="32"/>
          <w:szCs w:val="32"/>
        </w:rPr>
        <w:t>成交价格</w:t>
      </w:r>
      <w:r>
        <w:rPr>
          <w:rFonts w:ascii="Times New Roman" w:hAnsi="Times New Roman" w:cs="Times New Roman" w:hint="eastAsia" w:eastAsia="仿宋_GB2312"/>
          <w:sz w:val="32"/>
          <w:szCs w:val="32"/>
        </w:rPr>
        <w:t>没有</w:t>
      </w:r>
      <w:r>
        <w:rPr>
          <w:rFonts w:ascii="Times New Roman" w:hAnsi="Times New Roman" w:cs="Times New Roman" w:eastAsia="仿宋_GB2312"/>
          <w:sz w:val="32"/>
          <w:szCs w:val="32"/>
        </w:rPr>
        <w:t>超过货币补偿</w:t>
      </w:r>
      <w:r>
        <w:rPr>
          <w:rFonts w:ascii="Times New Roman" w:hAnsi="Times New Roman" w:cs="Times New Roman" w:hint="eastAsia" w:eastAsia="仿宋_GB2312"/>
          <w:sz w:val="32"/>
          <w:szCs w:val="32"/>
        </w:rPr>
        <w:t>费的，免征</w:t>
      </w:r>
      <w:r>
        <w:rPr>
          <w:rFonts w:ascii="Times New Roman" w:hAnsi="Times New Roman" w:cs="Times New Roman" w:eastAsia="仿宋_GB2312"/>
          <w:sz w:val="32"/>
          <w:szCs w:val="32"/>
        </w:rPr>
        <w:t>契税</w:t>
      </w:r>
      <w:r>
        <w:rPr>
          <w:rFonts w:ascii="Times New Roman" w:hAnsi="Times New Roman" w:cs="Times New Roman" w:hint="eastAsia" w:eastAsia="仿宋_GB2312"/>
          <w:sz w:val="32"/>
          <w:szCs w:val="32"/>
        </w:rPr>
        <w:t>；超出货币补偿费的，对超出部分</w:t>
      </w:r>
      <w:r>
        <w:rPr>
          <w:rFonts w:ascii="Times New Roman" w:hAnsi="Times New Roman" w:cs="Times New Roman" w:eastAsia="仿宋_GB2312"/>
          <w:sz w:val="32"/>
          <w:szCs w:val="32"/>
        </w:rPr>
        <w:t>征收契税</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选择</w:t>
      </w:r>
      <w:r>
        <w:rPr>
          <w:rFonts w:ascii="Times New Roman" w:hAnsi="Times New Roman" w:cs="Times New Roman" w:hint="eastAsia" w:eastAsia="仿宋_GB2312"/>
          <w:sz w:val="32"/>
          <w:szCs w:val="32"/>
        </w:rPr>
        <w:t>房屋</w:t>
      </w:r>
      <w:r>
        <w:rPr>
          <w:rFonts w:ascii="Times New Roman" w:hAnsi="Times New Roman" w:cs="Times New Roman" w:eastAsia="仿宋_GB2312"/>
          <w:sz w:val="32"/>
          <w:szCs w:val="32"/>
        </w:rPr>
        <w:t>产权调换且不缴纳</w:t>
      </w:r>
      <w:r>
        <w:rPr>
          <w:rFonts w:ascii="Times New Roman" w:hAnsi="Times New Roman" w:cs="Times New Roman" w:hint="eastAsia" w:eastAsia="仿宋_GB2312"/>
          <w:sz w:val="32"/>
          <w:szCs w:val="32"/>
        </w:rPr>
        <w:t>房屋价值</w:t>
      </w:r>
      <w:r>
        <w:rPr>
          <w:rFonts w:ascii="Times New Roman" w:hAnsi="Times New Roman" w:cs="Times New Roman" w:eastAsia="仿宋_GB2312"/>
          <w:sz w:val="32"/>
          <w:szCs w:val="32"/>
        </w:rPr>
        <w:t>差价的</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免征契税</w:t>
      </w:r>
      <w:r>
        <w:rPr>
          <w:rFonts w:ascii="Times New Roman" w:hAnsi="Times New Roman" w:cs="Times New Roman" w:hint="eastAsia" w:eastAsia="仿宋_GB2312"/>
          <w:sz w:val="32"/>
          <w:szCs w:val="32"/>
        </w:rPr>
        <w:t>；缴纳差价的，对差价部分</w:t>
      </w:r>
      <w:r>
        <w:rPr>
          <w:rFonts w:ascii="Times New Roman" w:hAnsi="Times New Roman" w:cs="Times New Roman" w:eastAsia="仿宋_GB2312"/>
          <w:sz w:val="32"/>
          <w:szCs w:val="32"/>
        </w:rPr>
        <w:t>征收契税。</w:t>
      </w:r>
    </w:p>
    <w:p>
      <w:pPr>
        <w:pStyle w:val="Normal"/>
        <w:spacing w:lineRule="exact" w:line="540"/>
        <w:ind w:firstLineChars="200" w:startChars="0" w:start="0" w:endChars="0" w:end="0"/>
        <w:rPr/>
      </w:pPr>
      <w:r>
        <w:rPr>
          <w:rFonts w:ascii="Times New Roman" w:hAnsi="Times New Roman" w:cs="Times New Roman" w:eastAsia="仿宋_GB2312"/>
          <w:sz w:val="32"/>
          <w:szCs w:val="32"/>
        </w:rPr>
        <w:t>（二）因不可抗力灭失住房，重新承受住房权属</w:t>
      </w:r>
      <w:r>
        <w:rPr>
          <w:rFonts w:ascii="Times New Roman" w:hAnsi="Times New Roman" w:cs="Times New Roman" w:hint="eastAsia" w:eastAsia="仿宋_GB2312"/>
          <w:sz w:val="32"/>
          <w:szCs w:val="32"/>
        </w:rPr>
        <w:t>的</w:t>
      </w:r>
      <w:r>
        <w:rPr>
          <w:rFonts w:ascii="Times New Roman" w:hAnsi="Times New Roman" w:cs="Times New Roman" w:eastAsia="仿宋_GB2312"/>
          <w:sz w:val="32"/>
          <w:szCs w:val="32"/>
        </w:rPr>
        <w:t>，免征契税</w:t>
      </w:r>
      <w:r>
        <w:rPr>
          <w:rFonts w:ascii="Times New Roman" w:hAnsi="Times New Roman" w:cs="Times New Roman" w:hint="eastAsia" w:eastAsia="仿宋_GB2312"/>
          <w:sz w:val="32"/>
          <w:szCs w:val="32"/>
        </w:rPr>
        <w:t>。</w:t>
      </w:r>
    </w:p>
    <w:p>
      <w:pPr>
        <w:pStyle w:val="Normal"/>
        <w:spacing w:lineRule="exact" w:line="54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国家对上述情形减征或者免征契税另有规定的，从其规定。</w:t>
      </w:r>
    </w:p>
    <w:p>
      <w:pPr>
        <w:pStyle w:val="Normal"/>
        <w:spacing w:lineRule="exact" w:line="540"/>
        <w:ind w:firstLineChars="200" w:startChars="0" w:start="0" w:endChars="0" w:end="0"/>
        <w:rPr/>
      </w:pPr>
      <w:r>
        <w:rPr>
          <w:rFonts w:ascii="Times New Roman" w:hAnsi="Times New Roman" w:cs="Times New Roman" w:hint="eastAsia" w:eastAsia="仿宋_GB2312"/>
          <w:sz w:val="32"/>
          <w:szCs w:val="32"/>
        </w:rPr>
        <w:t>三</w:t>
      </w:r>
      <w:r>
        <w:rPr>
          <w:rFonts w:ascii="Times New Roman" w:hAnsi="Times New Roman" w:cs="Times New Roman" w:eastAsia="仿宋_GB2312"/>
          <w:sz w:val="32"/>
          <w:szCs w:val="32"/>
        </w:rPr>
        <w:t>、</w:t>
      </w:r>
      <w:r>
        <w:rPr>
          <w:rFonts w:ascii="仿宋_GB2312" w:hAnsi="仿宋_GB2312" w:cs="仿宋_GB2312" w:hint="eastAsia" w:eastAsia="仿宋_GB2312"/>
          <w:sz w:val="32"/>
          <w:szCs w:val="32"/>
        </w:rPr>
        <w:t>本决定自</w:t>
      </w:r>
      <w:r>
        <w:rPr>
          <w:rFonts w:eastAsia="仿宋_GB2312" w:cs="仿宋_GB2312" w:hint="eastAsia" w:ascii="仿宋_GB2312" w:hAnsi="仿宋_GB2312"/>
          <w:sz w:val="32"/>
          <w:szCs w:val="32"/>
        </w:rPr>
        <w:t>2021</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9</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r>
        <w:rPr>
          <w:rFonts w:eastAsia="仿宋_GB2312" w:cs="仿宋_GB2312" w:hint="eastAsia" w:ascii="仿宋_GB2312" w:hAnsi="仿宋_GB2312"/>
          <w:sz w:val="32"/>
          <w:szCs w:val="32"/>
        </w:rPr>
        <w:t>1998</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9</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22</w:t>
      </w:r>
      <w:r>
        <w:rPr>
          <w:rFonts w:ascii="仿宋_GB2312" w:hAnsi="仿宋_GB2312" w:cs="仿宋_GB2312" w:hint="eastAsia" w:eastAsia="仿宋_GB2312"/>
          <w:sz w:val="32"/>
          <w:szCs w:val="32"/>
        </w:rPr>
        <w:t>日黑龙江省人民政府发布的《黑龙江省实施</w:t>
      </w:r>
      <w:r>
        <w:rPr>
          <w:rFonts w:eastAsia="仿宋_GB2312" w:cs="仿宋_GB2312" w:hint="eastAsia" w:ascii="仿宋_GB2312" w:hAnsi="仿宋_GB2312"/>
          <w:sz w:val="32"/>
          <w:szCs w:val="32"/>
        </w:rPr>
        <w:t>&lt;</w:t>
      </w:r>
      <w:r>
        <w:rPr>
          <w:rFonts w:ascii="仿宋_GB2312" w:hAnsi="仿宋_GB2312" w:cs="仿宋_GB2312" w:hint="eastAsia" w:eastAsia="仿宋_GB2312"/>
          <w:sz w:val="32"/>
          <w:szCs w:val="32"/>
        </w:rPr>
        <w:t>中华人民共和国契税暂行条例</w:t>
      </w:r>
      <w:r>
        <w:rPr>
          <w:rFonts w:eastAsia="仿宋_GB2312" w:cs="仿宋_GB2312" w:hint="eastAsia" w:ascii="仿宋_GB2312" w:hAnsi="仿宋_GB2312"/>
          <w:sz w:val="32"/>
          <w:szCs w:val="32"/>
        </w:rPr>
        <w:t>&gt;</w:t>
      </w:r>
      <w:r>
        <w:rPr>
          <w:rFonts w:ascii="仿宋_GB2312" w:hAnsi="仿宋_GB2312" w:cs="仿宋_GB2312" w:hint="eastAsia" w:eastAsia="仿宋_GB2312"/>
          <w:sz w:val="32"/>
          <w:szCs w:val="32"/>
        </w:rPr>
        <w:t>办法》同时废止</w:t>
      </w:r>
      <w:r>
        <w:rPr>
          <w:rFonts w:ascii="仿宋_GB2312" w:hAnsi="仿宋_GB2312" w:cs="仿宋_GB2312" w:hint="eastAsia" w:eastAsia="仿宋_GB2312"/>
          <w:sz w:val="36"/>
          <w:szCs w:val="36"/>
        </w:rPr>
        <w:t>。</w:t>
      </w:r>
    </w:p>
    <w:sectPr>
      <w:footerReference w:type="default" r:id="rId2"/>
      <w:type w:val="nextPage"/>
      <w:pgSz w:w="11906" w:h="16838"/>
      <w:pgMar w:left="1531" w:right="1531" w:gutter="0" w:header="0" w:top="1701" w:footer="992" w:bottom="1531"/>
      <w:pgNumType w:fmt="decimal"/>
      <w:formProt w:val="false"/>
      <w:textDirection w:val="lrTb"/>
      <w:docGrid w:type="lines" w:linePitch="31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楷体">
    <w:charset w:val="86"/>
    <w:family w:val="modern"/>
    <w:pitch w:val="default"/>
  </w:font>
  <w:font w:name="Liberation Sans">
    <w:altName w:val="Arial"/>
    <w:charset w:val="01" w:characterSet="utf-8"/>
    <w:family w:val="swiss"/>
    <w:pitch w:val="variable"/>
  </w:font>
  <w:font w:name="仿宋_GB2312">
    <w:charset w:val="86"/>
    <w:family w:val="modern"/>
    <w:pitch w:val="default"/>
  </w:font>
  <w:font w:name="Times">
    <w:altName w:val="Times New Roman"/>
    <w:charset w:val="00" w:characterSet="windows-1252"/>
    <w:family w:val="roman"/>
    <w:pitch w:val="variable"/>
  </w:font>
  <w:font w:name="黑体">
    <w:altName w:val="SimHei"/>
    <w:charset w:val="86"/>
    <w:family w:val="modern"/>
    <w:pitch w:val="default"/>
  </w:font>
  <w:font w:name="方正小标宋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hint="eastAsia"/>
      </w:rPr>
    </w:pPr>
    <w:r>
      <w:rPr>
        <w:rFonts w:hint="eastAsia"/>
      </w:rPr>
    </w:r>
    <w:r>
      <mc:AlternateContent>
        <mc:Choice Requires="wps">
          <w:drawing>
            <wp:anchor distT="0" distB="0" distL="114935" distR="0" simplePos="0" relativeHeight="2" behindDoc="1" locked="0" layoutInCell="0" allowOverlap="1">
              <wp:simplePos x="0" y="0"/>
              <wp:positionH relativeFrom="margin">
                <wp:align>outside</wp:align>
              </wp:positionH>
              <wp:positionV relativeFrom="paragraph">
                <wp:posOffset>635</wp:posOffset>
              </wp:positionV>
              <wp:extent cx="15875" cy="140970"/>
              <wp:effectExtent l="0" t="0" r="0" b="0"/>
              <wp:wrapNone/>
              <wp:docPr id="1" name="Frame2"/>
              <a:graphic xmlns:a="http://schemas.openxmlformats.org/drawingml/2006/main">
                <a:graphicData uri="http://schemas.microsoft.com/office/word/2010/wordprocessingShape">
                  <wps:wsp>
                    <wps:cNvSpPr txBox="1"/>
                    <wps:spPr>
                      <a:xfrm>
                        <a:off x="0" y="0"/>
                        <a:ext cx="15875" cy="140970"/>
                      </a:xfrm>
                      <a:prstGeom prst="rect"/>
                      <a:solidFill>
                        <a:srgbClr val="FFFFFF">
                          <a:alpha val="0"/>
                        </a:srgbClr>
                      </a:solidFill>
                    </wps:spPr>
                    <wps:txbx>
                      <w:txbxContent>
                        <w:p>
                          <w:pPr>
                            <w:pStyle w:val="Footer"/>
                            <w:rPr>
                              <w:rFonts w:hint="eastAsia"/>
                            </w:rPr>
                          </w:pPr>
                          <w:r>
                            <w:rPr>
                              <w:rFonts w:hint="eastAsia"/>
                            </w:rPr>
                          </w:r>
                        </w:p>
                      </w:txbxContent>
                    </wps:txbx>
                    <wps:bodyPr anchor="t" lIns="635" tIns="635" rIns="635" bIns="635">
                      <a:spAutoFit/>
                    </wps:bodyPr>
                  </wps:wsp>
                </a:graphicData>
              </a:graphic>
            </wp:anchor>
          </w:drawing>
        </mc:Choice>
        <mc:Fallback>
          <w:pict>
            <v:rect fillcolor="#FFFFFF" style="position:absolute;rotation:-0;width:1.25pt;height:11.1pt;mso-wrap-distance-left:9.05pt;mso-wrap-distance-right:0pt;mso-wrap-distance-top:0pt;mso-wrap-distance-bottom:0pt;margin-top:0pt;mso-position-vertical-relative:text;margin-left:440.95pt;mso-position-horizontal:outside;mso-position-horizontal-relative:margin">
              <v:fill opacity="0f"/>
              <v:textbox inset="0.000694444444444445in,0.000694444444444445in,0.000694444444444445in,0.000694444444444445in">
                <w:txbxContent>
                  <w:p>
                    <w:pPr>
                      <w:pStyle w:val="Footer"/>
                      <w:rPr>
                        <w:rFonts w:hint="eastAsia"/>
                      </w:rPr>
                    </w:pPr>
                    <w:r>
                      <w:rPr>
                        <w:rFonts w:hint="eastAsia"/>
                      </w:rPr>
                    </w:r>
                  </w:p>
                </w:txbxContent>
              </v:textbox>
              <w10:wrap type="none"/>
            </v:rect>
          </w:pict>
        </mc:Fallback>
      </mc:AlternateContent>
    </w:r>
    <w:r>
      <mc:AlternateContent>
        <mc:Choice Requires="wps">
          <w:drawing>
            <wp:anchor distT="0" distB="0" distL="114935" distR="0" simplePos="0" relativeHeight="3" behindDoc="1" locked="0" layoutInCell="0" allowOverlap="1">
              <wp:simplePos x="0" y="0"/>
              <wp:positionH relativeFrom="margin">
                <wp:align>outside</wp:align>
              </wp:positionH>
              <wp:positionV relativeFrom="paragraph">
                <wp:posOffset>635</wp:posOffset>
              </wp:positionV>
              <wp:extent cx="15875" cy="163830"/>
              <wp:effectExtent l="0" t="0" r="0" b="0"/>
              <wp:wrapNone/>
              <wp:docPr id="2" name="Frame1"/>
              <a:graphic xmlns:a="http://schemas.openxmlformats.org/drawingml/2006/main">
                <a:graphicData uri="http://schemas.microsoft.com/office/word/2010/wordprocessingShape">
                  <wps:wsp>
                    <wps:cNvSpPr txBox="1"/>
                    <wps:spPr>
                      <a:xfrm>
                        <a:off x="0" y="0"/>
                        <a:ext cx="15875" cy="163830"/>
                      </a:xfrm>
                      <a:prstGeom prst="rect"/>
                      <a:solidFill>
                        <a:srgbClr val="FFFFFF">
                          <a:alpha val="0"/>
                        </a:srgbClr>
                      </a:solidFill>
                    </wps:spPr>
                    <wps:txbx>
                      <w:txbxContent>
                        <w:p>
                          <w:pPr>
                            <w:pStyle w:val="Normal"/>
                            <w:rPr>
                              <w:rFonts w:hint="eastAsia"/>
                            </w:rPr>
                          </w:pPr>
                          <w:r>
                            <w:rPr>
                              <w:rFonts w:hint="eastAsia"/>
                            </w:rPr>
                          </w:r>
                        </w:p>
                      </w:txbxContent>
                    </wps:txbx>
                    <wps:bodyPr anchor="t" lIns="635" tIns="635" rIns="635" bIns="635">
                      <a:spAutoFit/>
                    </wps:bodyPr>
                  </wps:wsp>
                </a:graphicData>
              </a:graphic>
            </wp:anchor>
          </w:drawing>
        </mc:Choice>
        <mc:Fallback>
          <w:pict>
            <v:rect fillcolor="#FFFFFF" style="position:absolute;rotation:-0;width:1.25pt;height:12.9pt;mso-wrap-distance-left:9.05pt;mso-wrap-distance-right:0pt;mso-wrap-distance-top:0pt;mso-wrap-distance-bottom:0pt;margin-top:0pt;mso-position-vertical-relative:text;margin-left:430.6pt;mso-position-horizontal:outside;mso-position-horizontal-relative:margin">
              <v:fill opacity="0f"/>
              <v:textbox inset="0.000694444444444445in,0.000694444444444445in,0.000694444444444445in,0.000694444444444445in">
                <w:txbxContent>
                  <w:p>
                    <w:pPr>
                      <w:pStyle w:val="Normal"/>
                      <w:rPr>
                        <w:rFonts w:hint="eastAsia"/>
                      </w:rPr>
                    </w:pPr>
                    <w:r>
                      <w:rPr>
                        <w:rFonts w:hint="eastAsia"/>
                      </w:rPr>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100" w:after="100"/>
      <w:jc w:val="start"/>
      <w:outlineLvl w:val="0"/>
    </w:pPr>
    <w:rPr>
      <w:rFonts w:ascii="宋体;SimSun" w:hAnsi="宋体;SimSun" w:cs="Times New Roman"/>
      <w:b/>
      <w:kern w:val="2"/>
      <w:sz w:val="48"/>
      <w:szCs w:val="48"/>
    </w:rPr>
  </w:style>
  <w:style w:type="paragraph" w:styleId="Heading2">
    <w:name w:val="heading 2"/>
    <w:basedOn w:val="Normal"/>
    <w:next w:val="Normal"/>
    <w:qFormat/>
    <w:pPr>
      <w:numPr>
        <w:ilvl w:val="1"/>
        <w:numId w:val="1"/>
      </w:numPr>
      <w:spacing w:before="100" w:after="100"/>
      <w:jc w:val="start"/>
      <w:outlineLvl w:val="1"/>
    </w:pPr>
    <w:rPr>
      <w:rFonts w:ascii="宋体;SimSun" w:hAnsi="宋体;SimSun" w:cs="Times New Roman" w:hint="eastAsia"/>
      <w:b/>
      <w:kern w:val="0"/>
      <w:sz w:val="36"/>
      <w:szCs w:val="36"/>
    </w:rPr>
  </w:style>
  <w:style w:type="character" w:styleId="Style12">
    <w:name w:val="默认段落字体"/>
    <w:qFormat/>
    <w:rPr/>
  </w:style>
  <w:style w:type="character" w:styleId="1Char">
    <w:name w:val="标题 1 Char"/>
    <w:qFormat/>
    <w:rPr>
      <w:rFonts w:ascii="宋体;SimSun" w:hAnsi="宋体;SimSun" w:eastAsia="宋体;SimSun" w:cs="宋体;SimSun"/>
      <w:b/>
      <w:kern w:val="2"/>
      <w:sz w:val="48"/>
      <w:szCs w:val="48"/>
      <w:lang w:bidi="ar-SA"/>
    </w:rPr>
  </w:style>
  <w:style w:type="character" w:styleId="Strong">
    <w:name w:val="Strong"/>
    <w:basedOn w:val="Style12"/>
    <w:qFormat/>
    <w:rPr>
      <w:rFonts w:eastAsia="仿宋_GB2312"/>
      <w:b/>
      <w:bCs/>
      <w:kern w:val="0"/>
      <w:sz w:val="24"/>
      <w:szCs w:val="20"/>
    </w:rPr>
  </w:style>
  <w:style w:type="character" w:styleId="PageNumber">
    <w:name w:val="page number"/>
    <w:basedOn w:val="Style12"/>
    <w:rPr>
      <w:rFonts w:eastAsia="仿宋_GB2312"/>
      <w:kern w:val="0"/>
      <w:sz w:val="24"/>
      <w:szCs w:val="20"/>
    </w:rPr>
  </w:style>
  <w:style w:type="character" w:styleId="FollowedHyperlink">
    <w:name w:val="FollowedHyperlink"/>
    <w:basedOn w:val="Style12"/>
    <w:rPr>
      <w:rFonts w:eastAsia="仿宋_GB2312"/>
      <w:color w:val="000000"/>
      <w:kern w:val="0"/>
      <w:sz w:val="24"/>
      <w:szCs w:val="20"/>
      <w:u w:val="none"/>
    </w:rPr>
  </w:style>
  <w:style w:type="character" w:styleId="Emphasis">
    <w:name w:val="Emphasis"/>
    <w:basedOn w:val="Style12"/>
    <w:qFormat/>
    <w:rPr>
      <w:rFonts w:eastAsia="仿宋_GB2312"/>
      <w:i w:val="false"/>
      <w:kern w:val="0"/>
      <w:sz w:val="24"/>
      <w:szCs w:val="20"/>
    </w:rPr>
  </w:style>
  <w:style w:type="character" w:styleId="Hyperlink">
    <w:name w:val="Hyperlink"/>
    <w:basedOn w:val="Style12"/>
    <w:rPr>
      <w:rFonts w:eastAsia="仿宋_GB2312"/>
      <w:color w:val="000000"/>
      <w:kern w:val="0"/>
      <w:sz w:val="24"/>
      <w:szCs w:val="20"/>
      <w:u w:val="none"/>
    </w:rPr>
  </w:style>
  <w:style w:type="character" w:styleId="bdsmore">
    <w:name w:val="bds_more"/>
    <w:basedOn w:val="Style12"/>
    <w:qFormat/>
    <w:rPr>
      <w:rFonts w:ascii="宋体;SimSun" w:hAnsi="宋体;SimSun" w:eastAsia="宋体;SimSun" w:cs="宋体;SimSun" w:hint="eastAsia"/>
      <w:kern w:val="0"/>
      <w:sz w:val="24"/>
      <w:szCs w:val="20"/>
    </w:rPr>
  </w:style>
  <w:style w:type="character" w:styleId="bdsmore1">
    <w:name w:val="bds_more1"/>
    <w:basedOn w:val="Style12"/>
    <w:qFormat/>
    <w:rPr>
      <w:rFonts w:eastAsia="仿宋_GB2312"/>
      <w:kern w:val="0"/>
      <w:sz w:val="24"/>
      <w:szCs w:val="20"/>
    </w:rPr>
  </w:style>
  <w:style w:type="character" w:styleId="NewCharNew">
    <w:name w:val="正文 New Char New"/>
    <w:qFormat/>
    <w:rPr>
      <w:rFonts w:eastAsia="Times New Roman"/>
      <w:kern w:val="2"/>
      <w:sz w:val="21"/>
      <w:szCs w:val="24"/>
      <w:lang w:bidi="ar-SA"/>
    </w:rPr>
  </w:style>
  <w:style w:type="character" w:styleId="icoshf">
    <w:name w:val="icos_hf"/>
    <w:basedOn w:val="Style12"/>
    <w:qFormat/>
    <w:rPr>
      <w:rFonts w:eastAsia="仿宋_GB2312"/>
      <w:kern w:val="0"/>
      <w:sz w:val="27"/>
      <w:szCs w:val="27"/>
    </w:rPr>
  </w:style>
  <w:style w:type="character" w:styleId="bg02">
    <w:name w:val="bg02"/>
    <w:basedOn w:val="Style12"/>
    <w:qFormat/>
    <w:rPr>
      <w:rFonts w:eastAsia="仿宋_GB2312"/>
      <w:kern w:val="0"/>
      <w:sz w:val="16"/>
      <w:szCs w:val="0"/>
    </w:rPr>
  </w:style>
  <w:style w:type="character" w:styleId="font31">
    <w:name w:val="font31"/>
    <w:basedOn w:val="Style12"/>
    <w:qFormat/>
    <w:rPr>
      <w:rFonts w:ascii="楷体" w:hAnsi="楷体" w:eastAsia="楷体" w:cs="楷体" w:hint="eastAsia"/>
      <w:color w:val="000000"/>
      <w:kern w:val="0"/>
      <w:sz w:val="18"/>
      <w:szCs w:val="18"/>
      <w:u w:val="none"/>
    </w:rPr>
  </w:style>
  <w:style w:type="character" w:styleId="bdsmore2">
    <w:name w:val="bds_more2"/>
    <w:basedOn w:val="Style12"/>
    <w:qFormat/>
    <w:rPr>
      <w:rFonts w:eastAsia="仿宋_GB2312"/>
      <w:kern w:val="0"/>
      <w:sz w:val="24"/>
      <w:szCs w:val="20"/>
    </w:rPr>
  </w:style>
  <w:style w:type="character" w:styleId="15">
    <w:name w:val="15"/>
    <w:basedOn w:val="Style12"/>
    <w:qFormat/>
    <w:rPr>
      <w:rFonts w:ascii="Calibri" w:hAnsi="Calibri" w:eastAsia="仿宋_GB2312" w:cs="Calibri"/>
      <w:b/>
      <w:bCs/>
      <w:kern w:val="0"/>
      <w:sz w:val="24"/>
      <w:szCs w:val="20"/>
    </w:rPr>
  </w:style>
  <w:style w:type="character" w:styleId="ca-5">
    <w:name w:val="ca-5"/>
    <w:basedOn w:val="Style12"/>
    <w:qFormat/>
    <w:rPr>
      <w:rFonts w:eastAsia="仿宋_GB2312"/>
      <w:kern w:val="0"/>
      <w:sz w:val="24"/>
      <w:szCs w:val="20"/>
    </w:rPr>
  </w:style>
  <w:style w:type="character" w:styleId="active17">
    <w:name w:val="active17"/>
    <w:basedOn w:val="Style12"/>
    <w:qFormat/>
    <w:rPr>
      <w:rFonts w:eastAsia="仿宋_GB2312"/>
      <w:color w:val="FFFFFF"/>
      <w:kern w:val="0"/>
      <w:sz w:val="24"/>
      <w:szCs w:val="20"/>
      <w:bdr w:val="single" w:sz="48" w:space="0" w:color="004986"/>
      <w:shd w:fill="004986" w:val="clear"/>
    </w:rPr>
  </w:style>
  <w:style w:type="character" w:styleId="bdsnopic">
    <w:name w:val="bds_nopic"/>
    <w:basedOn w:val="Style12"/>
    <w:qFormat/>
    <w:rPr>
      <w:rFonts w:eastAsia="仿宋_GB2312"/>
      <w:kern w:val="0"/>
      <w:sz w:val="24"/>
      <w:szCs w:val="20"/>
    </w:rPr>
  </w:style>
  <w:style w:type="character" w:styleId="tabg">
    <w:name w:val="tabg"/>
    <w:basedOn w:val="Style12"/>
    <w:qFormat/>
    <w:rPr>
      <w:rFonts w:eastAsia="仿宋_GB2312"/>
      <w:kern w:val="0"/>
      <w:sz w:val="24"/>
      <w:szCs w:val="20"/>
    </w:rPr>
  </w:style>
  <w:style w:type="character" w:styleId="font81">
    <w:name w:val="font81"/>
    <w:basedOn w:val="Style12"/>
    <w:qFormat/>
    <w:rPr>
      <w:rFonts w:ascii="楷体" w:hAnsi="楷体" w:eastAsia="楷体" w:cs="楷体" w:hint="eastAsia"/>
      <w:color w:val="000000"/>
      <w:kern w:val="0"/>
      <w:sz w:val="18"/>
      <w:szCs w:val="18"/>
      <w:u w:val="none"/>
    </w:rPr>
  </w:style>
  <w:style w:type="character" w:styleId="NormalCharacter">
    <w:name w:val="NormalCharacter"/>
    <w:qFormat/>
    <w:rPr>
      <w:rFonts w:ascii="Calibri" w:hAnsi="Calibri" w:cs="Calibri"/>
      <w:kern w:val="2"/>
      <w:sz w:val="21"/>
      <w:szCs w:val="24"/>
      <w:lang w:bidi="ar-SA"/>
    </w:rPr>
  </w:style>
  <w:style w:type="character" w:styleId="tabg1">
    <w:name w:val="tabg1"/>
    <w:basedOn w:val="Style12"/>
    <w:qFormat/>
    <w:rPr>
      <w:rFonts w:eastAsia="仿宋_GB2312"/>
      <w:kern w:val="0"/>
      <w:sz w:val="24"/>
      <w:szCs w:val="20"/>
    </w:rPr>
  </w:style>
  <w:style w:type="character" w:styleId="bg021">
    <w:name w:val="bg021"/>
    <w:basedOn w:val="Style12"/>
    <w:qFormat/>
    <w:rPr>
      <w:rFonts w:eastAsia="仿宋_GB2312"/>
      <w:kern w:val="0"/>
      <w:sz w:val="24"/>
      <w:szCs w:val="20"/>
    </w:rPr>
  </w:style>
  <w:style w:type="character" w:styleId="bg01">
    <w:name w:val="bg01"/>
    <w:basedOn w:val="Style12"/>
    <w:qFormat/>
    <w:rPr>
      <w:rFonts w:eastAsia="仿宋_GB2312"/>
      <w:kern w:val="0"/>
      <w:sz w:val="16"/>
      <w:szCs w:val="0"/>
    </w:rPr>
  </w:style>
  <w:style w:type="character" w:styleId="font11">
    <w:name w:val="font11"/>
    <w:basedOn w:val="Style12"/>
    <w:qFormat/>
    <w:rPr>
      <w:rFonts w:ascii="楷体" w:hAnsi="楷体" w:eastAsia="楷体" w:cs="楷体" w:hint="eastAsia"/>
      <w:color w:val="000000"/>
      <w:kern w:val="0"/>
      <w:sz w:val="18"/>
      <w:szCs w:val="18"/>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widowControl/>
      <w:spacing w:before="280" w:after="280"/>
      <w:jc w:val="start"/>
    </w:pPr>
    <w:rPr>
      <w:rFonts w:ascii="宋体;SimSun" w:hAnsi="宋体;SimSun" w:cs="Times New Roman" w:hint="eastAsia"/>
      <w:color w:val="000000"/>
      <w:kern w:val="0"/>
      <w:sz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tyle>
  <w:style w:type="paragraph" w:styleId="BodyTextIndent">
    <w:name w:val="Body Text Indent"/>
    <w:basedOn w:val="Normal"/>
    <w:pPr>
      <w:ind w:firstLine="435" w:start="0" w:end="0"/>
    </w:pPr>
    <w:rPr>
      <w:rFonts w:ascii="仿宋_GB2312" w:hAnsi="仿宋_GB2312" w:eastAsia="仿宋_GB2312"/>
      <w:sz w:val="32"/>
      <w:szCs w:val="21"/>
    </w:rPr>
  </w:style>
  <w:style w:type="paragraph" w:styleId="Style14">
    <w:name w:val="纯文本"/>
    <w:basedOn w:val="Normal"/>
    <w:qFormat/>
    <w:pPr/>
    <w:rPr>
      <w:rFonts w:ascii="宋体;SimSun" w:hAnsi="宋体;SimSun"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330"/>
      <w:jc w:val="start"/>
    </w:pPr>
    <w:rPr>
      <w:rFonts w:ascii="Arial" w:hAnsi="Arial" w:cs="Arial"/>
      <w:kern w:val="0"/>
      <w:sz w:val="20"/>
      <w:szCs w:val="21"/>
    </w:rPr>
  </w:style>
  <w:style w:type="paragraph" w:styleId="Style15">
    <w:name w:val="普通(网站)"/>
    <w:basedOn w:val="Normal"/>
    <w:qFormat/>
    <w:pPr>
      <w:jc w:val="start"/>
    </w:pPr>
    <w:rPr>
      <w:rFonts w:cs="Times New Roman"/>
      <w:kern w:val="0"/>
      <w:sz w:val="24"/>
    </w:rPr>
  </w:style>
  <w:style w:type="paragraph" w:styleId="NewNewNewNewNewNewNewNewNewNewNewNewNewNewNewNewNewNew">
    <w:name w:val="正文 New New New New New New New New New New New New New New New New New New"/>
    <w:qFormat/>
    <w:pPr>
      <w:widowControl w:val="false"/>
      <w:bidi w:val="0"/>
      <w:jc w:val="both"/>
    </w:pPr>
    <w:rPr>
      <w:rFonts w:ascii="Times New Roman" w:hAnsi="Times New Roman" w:eastAsia="Times New Roman" w:cs="Times New Roman"/>
      <w:color w:val="auto"/>
      <w:kern w:val="2"/>
      <w:sz w:val="21"/>
      <w:szCs w:val="24"/>
      <w:lang w:bidi="ar-SA" w:val="en-US" w:eastAsia="zh-CN"/>
    </w:rPr>
  </w:style>
  <w:style w:type="paragraph" w:styleId="NewNew">
    <w:name w:val="正文 New New"/>
    <w:next w:val="New"/>
    <w:qFormat/>
    <w:pPr>
      <w:widowControl w:val="false"/>
      <w:bidi w:val="0"/>
      <w:jc w:val="both"/>
    </w:pPr>
    <w:rPr>
      <w:rFonts w:ascii="Times New Roman" w:hAnsi="Times New Roman" w:eastAsia="宋体;SimSun" w:cs="Times New Roman"/>
      <w:color w:val="auto"/>
      <w:kern w:val="2"/>
      <w:sz w:val="21"/>
      <w:szCs w:val="22"/>
      <w:lang w:bidi="ar-SA" w:val="en-US" w:eastAsia="zh-CN"/>
    </w:rPr>
  </w:style>
  <w:style w:type="paragraph" w:styleId="New">
    <w:name w:val="引文目录 New"/>
    <w:basedOn w:val="NewNew"/>
    <w:next w:val="NewNew"/>
    <w:qFormat/>
    <w:pPr>
      <w:ind w:firstLineChars="0" w:firstLine="0" w:startChars="200" w:endChars="0" w:end="0"/>
    </w:pPr>
    <w:rPr/>
  </w:style>
  <w:style w:type="paragraph" w:styleId="CharCharCharChar">
    <w:name w:val="Char Char Char Char"/>
    <w:basedOn w:val="Normal"/>
    <w:qFormat/>
    <w:pPr>
      <w:spacing w:lineRule="auto" w:line="360"/>
    </w:pPr>
    <w:rPr>
      <w:rFonts w:eastAsia="仿宋_GB2312"/>
      <w:kern w:val="0"/>
      <w:sz w:val="24"/>
      <w:szCs w:val="20"/>
    </w:rPr>
  </w:style>
  <w:style w:type="paragraph" w:styleId="NewNewNewNewNewNewNewNew">
    <w:name w:val="正文 New New New New New New New New"/>
    <w:qFormat/>
    <w:pPr>
      <w:widowControl w:val="false"/>
      <w:bidi w:val="0"/>
      <w:jc w:val="both"/>
    </w:pPr>
    <w:rPr>
      <w:rFonts w:ascii="Calibri" w:hAnsi="Calibri" w:eastAsia="宋体;SimSun" w:cs="黑体;SimHei"/>
      <w:color w:val="auto"/>
      <w:kern w:val="2"/>
      <w:sz w:val="21"/>
      <w:szCs w:val="22"/>
      <w:lang w:bidi="ar-SA" w:val="en-US" w:eastAsia="zh-CN"/>
    </w:rPr>
  </w:style>
  <w:style w:type="paragraph" w:styleId="NewNewNewNewNewNewNewNewNewNewNewNew">
    <w:name w:val="正文 New New New New New New New New New New New New"/>
    <w:qFormat/>
    <w:pPr>
      <w:widowControl w:val="false"/>
      <w:bidi w:val="0"/>
      <w:jc w:val="both"/>
    </w:pPr>
    <w:rPr>
      <w:rFonts w:ascii="Calibri" w:hAnsi="Calibri" w:eastAsia="宋体;SimSun" w:cs="Calibri"/>
      <w:color w:val="auto"/>
      <w:kern w:val="2"/>
      <w:sz w:val="21"/>
      <w:szCs w:val="24"/>
      <w:lang w:bidi="ar-SA" w:val="en-US" w:eastAsia="zh-CN"/>
    </w:rPr>
  </w:style>
  <w:style w:type="paragraph" w:styleId="NewNewNewNewNewNewNewNewNewNewNewNewNewNewNewNew">
    <w:name w:val="正文 New New New New New New New New New New New New New New New New"/>
    <w:qFormat/>
    <w:pPr>
      <w:widowControl w:val="false"/>
      <w:bidi w:val="0"/>
      <w:jc w:val="both"/>
    </w:pPr>
    <w:rPr>
      <w:rFonts w:ascii="Calibri" w:hAnsi="Calibri" w:eastAsia="宋体;SimSun" w:cs="Calibri"/>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p0">
    <w:name w:val="p0"/>
    <w:basedOn w:val="Normal"/>
    <w:qFormat/>
    <w:pPr>
      <w:widowControl/>
    </w:pPr>
    <w:rPr>
      <w:rFonts w:ascii="Times" w:hAnsi="Times" w:cs="Times"/>
      <w:kern w:val="0"/>
      <w:sz w:val="32"/>
      <w:szCs w:val="32"/>
    </w:rPr>
  </w:style>
  <w:style w:type="paragraph" w:styleId="1">
    <w:name w:val="样式1"/>
    <w:basedOn w:val="Normal"/>
    <w:qFormat/>
    <w:pPr/>
    <w:rPr/>
  </w:style>
  <w:style w:type="paragraph" w:styleId="NewNewNewNewNewNewNewNewNewNewNewNewNewNewNewNewNewNewNewNewNewNew">
    <w:name w:val="正文 New New New New New New New New New New New New New New New New New New New New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NewNewNewNew">
    <w:name w:val="正文 New New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NewNewNewNewNewNewNewNewNewNewNewNewNew">
    <w:name w:val="正文 New New New New New New New New New New New New New"/>
    <w:qFormat/>
    <w:pPr>
      <w:widowControl w:val="false"/>
      <w:bidi w:val="0"/>
      <w:jc w:val="both"/>
    </w:pPr>
    <w:rPr>
      <w:rFonts w:ascii="Calibri" w:hAnsi="Calibri" w:eastAsia="宋体;SimSun" w:cs="黑体;SimHei"/>
      <w:color w:val="auto"/>
      <w:kern w:val="2"/>
      <w:sz w:val="21"/>
      <w:szCs w:val="24"/>
      <w:lang w:bidi="ar-SA" w:val="en-US" w:eastAsia="zh-CN"/>
    </w:rPr>
  </w:style>
  <w:style w:type="paragraph" w:styleId="Char1CharChar1Char">
    <w:name w:val="Char1 Char Char1 Char"/>
    <w:basedOn w:val="Normal"/>
    <w:qFormat/>
    <w:pPr>
      <w:widowControl/>
      <w:spacing w:lineRule="exact" w:line="240" w:before="0" w:after="160"/>
      <w:jc w:val="start"/>
    </w:pPr>
    <w:rPr/>
  </w:style>
  <w:style w:type="paragraph" w:styleId="ListParagraph">
    <w:name w:val="List Paragraph"/>
    <w:basedOn w:val="Normal"/>
    <w:qFormat/>
    <w:pPr>
      <w:ind w:firstLineChars="200" w:startChars="0" w:start="0" w:endChars="0" w:end="0"/>
    </w:pPr>
    <w:rPr/>
  </w:style>
  <w:style w:type="paragraph" w:styleId="NewNewNewNewNewNewNew">
    <w:name w:val="正文 New New New New New New New"/>
    <w:qFormat/>
    <w:pPr>
      <w:widowControl w:val="false"/>
      <w:bidi w:val="0"/>
      <w:jc w:val="both"/>
    </w:pPr>
    <w:rPr>
      <w:rFonts w:ascii="Calibri" w:hAnsi="Calibri" w:eastAsia="宋体;SimSun" w:cs="Calibri"/>
      <w:color w:val="auto"/>
      <w:kern w:val="2"/>
      <w:sz w:val="21"/>
      <w:szCs w:val="24"/>
      <w:lang w:bidi="ar-SA" w:val="en-US" w:eastAsia="zh-CN"/>
    </w:rPr>
  </w:style>
  <w:style w:type="paragraph" w:styleId="NewNewNewNewNewNewNewNewNew">
    <w:name w:val="正文 New New New New New New New New New"/>
    <w:qFormat/>
    <w:pPr>
      <w:widowControl w:val="false"/>
      <w:bidi w:val="0"/>
      <w:jc w:val="both"/>
    </w:pPr>
    <w:rPr>
      <w:rFonts w:ascii="Calibri" w:hAnsi="Calibri" w:eastAsia="宋体;SimSun" w:cs="黑体;SimHei"/>
      <w:color w:val="auto"/>
      <w:kern w:val="2"/>
      <w:sz w:val="21"/>
      <w:szCs w:val="22"/>
      <w:lang w:bidi="ar-SA" w:val="en-US" w:eastAsia="zh-CN"/>
    </w:rPr>
  </w:style>
  <w:style w:type="paragraph" w:styleId="NewNewNewNewNewNewNewNewNewNewNewNewNewNewNewNewNewNewNew">
    <w:name w:val="正文 New New New New New New New New New New New New New New New New New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NewNewNewNewNew">
    <w:name w:val="正文 New New New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NewNewNewNewNewNew">
    <w:name w:val="正文 New New New New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NewNewNewNewNewNewNewNewNewNewNewNewNewNewNewNewNewNewNewNewNewNewNewNew">
    <w:name w:val="正文 New New New New New New New New New New New New New New New New New New New New New New New New"/>
    <w:qFormat/>
    <w:pPr>
      <w:widowControl w:val="false"/>
      <w:bidi w:val="0"/>
      <w:jc w:val="both"/>
    </w:pPr>
    <w:rPr>
      <w:rFonts w:ascii="Calibri" w:hAnsi="Calibri" w:eastAsia="宋体;SimSun" w:cs="黑体;SimHei"/>
      <w:color w:val="auto"/>
      <w:kern w:val="2"/>
      <w:sz w:val="21"/>
      <w:szCs w:val="22"/>
      <w:lang w:bidi="ar-SA" w:val="en-US" w:eastAsia="zh-CN"/>
    </w:rPr>
  </w:style>
  <w:style w:type="paragraph" w:styleId="New1">
    <w:name w:val="正文 New"/>
    <w:qFormat/>
    <w:pPr>
      <w:widowControl w:val="false"/>
      <w:bidi w:val="0"/>
      <w:jc w:val="both"/>
    </w:pPr>
    <w:rPr>
      <w:rFonts w:ascii="Calibri" w:hAnsi="Calibri" w:eastAsia="宋体;SimSun" w:cs="Calibri"/>
      <w:color w:val="auto"/>
      <w:kern w:val="2"/>
      <w:sz w:val="21"/>
      <w:szCs w:val="24"/>
      <w:lang w:bidi="ar-SA" w:val="en-US" w:eastAsia="zh-CN"/>
    </w:rPr>
  </w:style>
  <w:style w:type="paragraph" w:styleId="NewNewNewNewNewNewNewNewNewNewNewNewNewNewNew">
    <w:name w:val="正文 New New New New New New New New New New New New New New New"/>
    <w:qFormat/>
    <w:pPr>
      <w:widowControl w:val="false"/>
      <w:bidi w:val="0"/>
      <w:jc w:val="both"/>
    </w:pPr>
    <w:rPr>
      <w:rFonts w:ascii="Calibri" w:hAnsi="Calibri" w:eastAsia="宋体;SimSun" w:cs="Calibri"/>
      <w:color w:val="auto"/>
      <w:kern w:val="2"/>
      <w:sz w:val="21"/>
      <w:szCs w:val="22"/>
      <w:lang w:bidi="ar-SA" w:val="en-US" w:eastAsia="zh-CN"/>
    </w:rPr>
  </w:style>
  <w:style w:type="paragraph" w:styleId="NewNewNewNewNewNewNewNewNewNewNew">
    <w:name w:val="正文 New New New New New New New New New New New"/>
    <w:qFormat/>
    <w:pPr>
      <w:widowControl w:val="false"/>
      <w:bidi w:val="0"/>
      <w:jc w:val="both"/>
    </w:pPr>
    <w:rPr>
      <w:rFonts w:ascii="Calibri" w:hAnsi="Calibri" w:eastAsia="宋体;SimSun" w:cs="黑体;SimHei"/>
      <w:color w:val="auto"/>
      <w:kern w:val="2"/>
      <w:sz w:val="21"/>
      <w:szCs w:val="22"/>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2021-06-28T11:18:00Z</dcterms:created>
  <dc:creator>那哲</dc:creator>
  <dc:description/>
  <dc:language>en-US</dc:language>
  <cp:lastModifiedBy>Administrator</cp:lastModifiedBy>
  <cp:lastPrinted>2021-04-27T10:38:00Z</cp:lastPrinted>
  <dcterms:modified xsi:type="dcterms:W3CDTF">2021-06-28T11:18:00Z</dcterms:modified>
  <cp:revision>2</cp:revision>
  <dc:subject/>
  <dc:title>关于实施契税法授权事项的决定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101E2E17A4714BDF80A6415A59F13BC3</vt:lpwstr>
  </property>
  <property fmtid="{D5CDD505-2E9C-101B-9397-08002B2CF9AE}" pid="3" name="KSOProductBuildVer">
    <vt:lpwstr>2052-11.1.0.10578</vt:lpwstr>
  </property>
</Properties>
</file>