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exact" w:line="590"/>
        <w:jc w:val="center"/>
        <w:rPr>
          <w:rFonts w:ascii="方正小标宋简体" w:hAnsi="方正小标宋简体" w:eastAsia="方正小标宋简体" w:cs="宋体" w:hint="eastAsia"/>
          <w:sz w:val="44"/>
          <w:szCs w:val="44"/>
        </w:rPr>
      </w:pPr>
      <w:r>
        <w:rPr>
          <w:rFonts w:eastAsia="方正小标宋简体" w:cs="宋体" w:hint="eastAsia" w:ascii="方正小标宋简体" w:hAnsi="方正小标宋简体"/>
          <w:sz w:val="44"/>
          <w:szCs w:val="44"/>
        </w:rPr>
      </w:r>
    </w:p>
    <w:p>
      <w:pPr>
        <w:pStyle w:val="Normal"/>
        <w:snapToGrid w:val="false"/>
        <w:spacing w:lineRule="exact" w:line="590"/>
        <w:jc w:val="center"/>
        <w:rPr>
          <w:rFonts w:ascii="方正小标宋简体" w:hAnsi="方正小标宋简体" w:eastAsia="方正小标宋简体" w:cs="宋体" w:hint="eastAsia"/>
          <w:sz w:val="44"/>
          <w:szCs w:val="44"/>
        </w:rPr>
      </w:pPr>
      <w:r>
        <w:rPr>
          <w:rFonts w:eastAsia="方正小标宋简体" w:cs="宋体" w:hint="eastAsia" w:ascii="方正小标宋简体" w:hAnsi="方正小标宋简体"/>
          <w:sz w:val="44"/>
          <w:szCs w:val="44"/>
        </w:rPr>
      </w:r>
    </w:p>
    <w:p>
      <w:pPr>
        <w:pStyle w:val="Normal"/>
        <w:snapToGrid w:val="false"/>
        <w:spacing w:lineRule="exact" w:line="590"/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44"/>
          <w:szCs w:val="44"/>
        </w:rPr>
        <w:t>哈尔滨市水生态监测条例</w:t>
      </w:r>
    </w:p>
    <w:p>
      <w:pPr>
        <w:pStyle w:val="Normal"/>
        <w:snapToGrid w:val="false"/>
        <w:spacing w:lineRule="exact" w:line="590"/>
        <w:jc w:val="center"/>
        <w:rPr>
          <w:rFonts w:ascii="方正小标宋简体" w:hAnsi="方正小标宋简体" w:eastAsia="方正小标宋简体" w:cs="宋体" w:hint="eastAsia"/>
          <w:sz w:val="32"/>
          <w:szCs w:val="32"/>
        </w:rPr>
      </w:pPr>
      <w:r>
        <w:rPr>
          <w:rFonts w:eastAsia="方正小标宋简体" w:cs="宋体" w:hint="eastAsia" w:ascii="方正小标宋简体" w:hAnsi="方正小标宋简体"/>
          <w:sz w:val="32"/>
          <w:szCs w:val="32"/>
        </w:rPr>
      </w:r>
    </w:p>
    <w:p>
      <w:pPr>
        <w:pStyle w:val="Normal"/>
        <w:snapToGrid w:val="false"/>
        <w:spacing w:lineRule="exact" w:line="590"/>
        <w:ind w:firstLineChars="200" w:startChars="200" w:endChars="200"/>
        <w:jc w:val="start"/>
        <w:rPr>
          <w:rFonts w:ascii="楷体_GB2312" w:hAnsi="楷体_GB2312" w:eastAsia="楷体_GB2312" w:hint="eastAsia"/>
          <w:sz w:val="30"/>
          <w:szCs w:val="30"/>
        </w:rPr>
      </w:pPr>
      <w:r>
        <w:rPr>
          <w:rFonts w:ascii="楷体_GB2312" w:hAnsi="楷体_GB2312" w:hint="eastAsia" w:eastAsia="楷体_GB2312"/>
          <w:sz w:val="30"/>
          <w:szCs w:val="30"/>
        </w:rPr>
        <w:t>（</w:t>
      </w:r>
      <w:r>
        <w:rPr>
          <w:rFonts w:eastAsia="楷体_GB2312" w:hint="eastAsia" w:ascii="楷体_GB2312" w:hAnsi="楷体_GB2312"/>
          <w:sz w:val="30"/>
          <w:szCs w:val="30"/>
        </w:rPr>
        <w:t>2011</w:t>
      </w:r>
      <w:r>
        <w:rPr>
          <w:rFonts w:ascii="楷体_GB2312" w:hAnsi="楷体_GB2312" w:hint="eastAsia" w:eastAsia="楷体_GB2312"/>
          <w:sz w:val="30"/>
          <w:szCs w:val="30"/>
        </w:rPr>
        <w:t>年</w:t>
      </w:r>
      <w:r>
        <w:rPr>
          <w:rFonts w:eastAsia="楷体_GB2312" w:hint="eastAsia" w:ascii="楷体_GB2312" w:hAnsi="楷体_GB2312"/>
          <w:sz w:val="30"/>
          <w:szCs w:val="30"/>
        </w:rPr>
        <w:t>9</w:t>
      </w:r>
      <w:r>
        <w:rPr>
          <w:rFonts w:ascii="楷体_GB2312" w:hAnsi="楷体_GB2312" w:hint="eastAsia" w:eastAsia="楷体_GB2312"/>
          <w:sz w:val="30"/>
          <w:szCs w:val="30"/>
        </w:rPr>
        <w:t>月</w:t>
      </w:r>
      <w:r>
        <w:rPr>
          <w:rFonts w:eastAsia="楷体_GB2312" w:hint="eastAsia" w:ascii="楷体_GB2312" w:hAnsi="楷体_GB2312"/>
          <w:sz w:val="30"/>
          <w:szCs w:val="30"/>
        </w:rPr>
        <w:t>27</w:t>
      </w:r>
      <w:r>
        <w:rPr>
          <w:rFonts w:ascii="楷体_GB2312" w:hAnsi="楷体_GB2312" w:hint="eastAsia" w:eastAsia="楷体_GB2312"/>
          <w:sz w:val="30"/>
          <w:szCs w:val="30"/>
        </w:rPr>
        <w:t>日哈尔滨市第十三届人民代表大会常务委员会第三十一次会议通过，</w:t>
      </w:r>
      <w:r>
        <w:rPr>
          <w:rFonts w:eastAsia="楷体_GB2312" w:hint="eastAsia" w:ascii="楷体_GB2312" w:hAnsi="楷体_GB2312"/>
          <w:sz w:val="30"/>
          <w:szCs w:val="30"/>
        </w:rPr>
        <w:t>2011</w:t>
      </w:r>
      <w:r>
        <w:rPr>
          <w:rFonts w:ascii="楷体_GB2312" w:hAnsi="楷体_GB2312" w:hint="eastAsia" w:eastAsia="楷体_GB2312"/>
          <w:sz w:val="30"/>
          <w:szCs w:val="30"/>
        </w:rPr>
        <w:t>年</w:t>
      </w:r>
      <w:r>
        <w:rPr>
          <w:rFonts w:eastAsia="楷体_GB2312" w:hint="eastAsia" w:ascii="楷体_GB2312" w:hAnsi="楷体_GB2312"/>
          <w:sz w:val="30"/>
          <w:szCs w:val="30"/>
        </w:rPr>
        <w:t>12</w:t>
      </w:r>
      <w:r>
        <w:rPr>
          <w:rFonts w:ascii="楷体_GB2312" w:hAnsi="楷体_GB2312" w:hint="eastAsia" w:eastAsia="楷体_GB2312"/>
          <w:sz w:val="30"/>
          <w:szCs w:val="30"/>
        </w:rPr>
        <w:t>月</w:t>
      </w:r>
      <w:r>
        <w:rPr>
          <w:rFonts w:eastAsia="楷体_GB2312" w:hint="eastAsia" w:ascii="楷体_GB2312" w:hAnsi="楷体_GB2312"/>
          <w:sz w:val="30"/>
          <w:szCs w:val="30"/>
        </w:rPr>
        <w:t>8</w:t>
      </w:r>
      <w:r>
        <w:rPr>
          <w:rFonts w:ascii="楷体_GB2312" w:hAnsi="楷体_GB2312" w:hint="eastAsia" w:eastAsia="楷体_GB2312"/>
          <w:sz w:val="30"/>
          <w:szCs w:val="30"/>
        </w:rPr>
        <w:t>日黑龙江省第十一届人民代表大会常务委员会第二十九次会议批准）</w:t>
      </w:r>
    </w:p>
    <w:p>
      <w:pPr>
        <w:pStyle w:val="Normal"/>
        <w:snapToGrid w:val="false"/>
        <w:spacing w:lineRule="exact" w:line="590"/>
        <w:ind w:firstLineChars="200" w:startChars="0" w:start="0" w:endChars="0" w:end="0"/>
        <w:jc w:val="start"/>
        <w:rPr>
          <w:rFonts w:ascii="楷体_GB2312" w:hAnsi="楷体_GB2312" w:eastAsia="楷体_GB2312" w:hint="eastAsia"/>
          <w:sz w:val="30"/>
          <w:szCs w:val="30"/>
        </w:rPr>
      </w:pPr>
      <w:r>
        <w:rPr>
          <w:rFonts w:eastAsia="楷体_GB2312" w:hint="eastAsia" w:ascii="楷体_GB2312" w:hAnsi="楷体_GB2312"/>
          <w:sz w:val="30"/>
          <w:szCs w:val="30"/>
        </w:rPr>
      </w:r>
    </w:p>
    <w:p>
      <w:pPr>
        <w:pStyle w:val="Normal"/>
        <w:widowControl/>
        <w:spacing w:lineRule="exact" w:line="590"/>
        <w:jc w:val="center"/>
        <w:rPr>
          <w:rFonts w:ascii="楷体_GB2312" w:hAnsi="楷体_GB2312" w:eastAsia="楷体_GB2312" w:cs="宋体" w:hint="eastAsia"/>
          <w:kern w:val="0"/>
          <w:sz w:val="32"/>
          <w:szCs w:val="32"/>
        </w:rPr>
      </w:pPr>
      <w:r>
        <w:rPr>
          <w:rFonts w:ascii="楷体_GB2312" w:hAnsi="楷体_GB2312" w:cs="宋体" w:hint="eastAsia" w:eastAsia="楷体_GB2312"/>
          <w:kern w:val="0"/>
          <w:sz w:val="32"/>
          <w:szCs w:val="32"/>
        </w:rPr>
        <w:t>目    录</w:t>
      </w:r>
    </w:p>
    <w:p>
      <w:pPr>
        <w:pStyle w:val="Normal"/>
        <w:widowControl/>
        <w:spacing w:lineRule="exact" w:line="590"/>
        <w:ind w:start="630" w:end="0"/>
        <w:rPr>
          <w:rFonts w:ascii="楷体_GB2312" w:hAnsi="楷体_GB2312" w:eastAsia="楷体_GB2312" w:cs="宋体" w:hint="eastAsia"/>
          <w:kern w:val="0"/>
          <w:sz w:val="32"/>
          <w:szCs w:val="32"/>
        </w:rPr>
      </w:pPr>
      <w:r>
        <w:rPr>
          <w:rFonts w:ascii="楷体_GB2312" w:hAnsi="楷体_GB2312" w:cs="宋体" w:hint="eastAsia" w:eastAsia="楷体_GB2312"/>
          <w:kern w:val="0"/>
          <w:sz w:val="32"/>
          <w:szCs w:val="32"/>
        </w:rPr>
        <w:t>第一章  总则</w:t>
      </w:r>
    </w:p>
    <w:p>
      <w:pPr>
        <w:pStyle w:val="Normal"/>
        <w:widowControl/>
        <w:spacing w:lineRule="exact" w:line="590"/>
        <w:ind w:start="630" w:end="0"/>
        <w:rPr>
          <w:rFonts w:ascii="楷体_GB2312" w:hAnsi="楷体_GB2312" w:eastAsia="楷体_GB2312" w:cs="宋体" w:hint="eastAsia"/>
          <w:kern w:val="0"/>
          <w:sz w:val="32"/>
          <w:szCs w:val="32"/>
        </w:rPr>
      </w:pPr>
      <w:r>
        <w:rPr>
          <w:rFonts w:ascii="楷体_GB2312" w:hAnsi="楷体_GB2312" w:cs="宋体" w:hint="eastAsia" w:eastAsia="楷体_GB2312"/>
          <w:kern w:val="0"/>
          <w:sz w:val="32"/>
          <w:szCs w:val="32"/>
        </w:rPr>
        <w:t>第二章  规划与建设</w:t>
      </w:r>
    </w:p>
    <w:p>
      <w:pPr>
        <w:pStyle w:val="Normal"/>
        <w:widowControl/>
        <w:spacing w:lineRule="exact" w:line="590"/>
        <w:ind w:start="630" w:end="0"/>
        <w:rPr>
          <w:rFonts w:ascii="楷体_GB2312" w:hAnsi="楷体_GB2312" w:eastAsia="楷体_GB2312" w:cs="宋体" w:hint="eastAsia"/>
          <w:kern w:val="0"/>
          <w:sz w:val="32"/>
          <w:szCs w:val="32"/>
        </w:rPr>
      </w:pPr>
      <w:r>
        <w:rPr>
          <w:rFonts w:ascii="楷体_GB2312" w:hAnsi="楷体_GB2312" w:cs="宋体" w:hint="eastAsia" w:eastAsia="楷体_GB2312"/>
          <w:kern w:val="0"/>
          <w:sz w:val="32"/>
          <w:szCs w:val="32"/>
        </w:rPr>
        <w:t>第三章  监测与评价</w:t>
      </w:r>
    </w:p>
    <w:p>
      <w:pPr>
        <w:pStyle w:val="Normal"/>
        <w:widowControl/>
        <w:spacing w:lineRule="exact" w:line="590"/>
        <w:ind w:start="630" w:end="0"/>
        <w:rPr>
          <w:rFonts w:ascii="楷体_GB2312" w:hAnsi="楷体_GB2312" w:eastAsia="楷体_GB2312" w:cs="宋体" w:hint="eastAsia"/>
          <w:kern w:val="0"/>
          <w:sz w:val="32"/>
          <w:szCs w:val="32"/>
        </w:rPr>
      </w:pPr>
      <w:r>
        <w:rPr>
          <w:rFonts w:ascii="楷体_GB2312" w:hAnsi="楷体_GB2312" w:cs="宋体" w:hint="eastAsia" w:eastAsia="楷体_GB2312"/>
          <w:kern w:val="0"/>
          <w:sz w:val="32"/>
          <w:szCs w:val="32"/>
        </w:rPr>
        <w:t>第四章  设施设备与监测范围保护</w:t>
      </w:r>
    </w:p>
    <w:p>
      <w:pPr>
        <w:pStyle w:val="Normal"/>
        <w:widowControl/>
        <w:spacing w:lineRule="exact" w:line="590"/>
        <w:ind w:start="630" w:end="0"/>
        <w:rPr>
          <w:rFonts w:ascii="楷体_GB2312" w:hAnsi="楷体_GB2312" w:eastAsia="楷体_GB2312" w:cs="宋体" w:hint="eastAsia"/>
          <w:kern w:val="0"/>
          <w:sz w:val="32"/>
          <w:szCs w:val="32"/>
        </w:rPr>
      </w:pPr>
      <w:r>
        <w:rPr>
          <w:rFonts w:ascii="楷体_GB2312" w:hAnsi="楷体_GB2312" w:cs="宋体" w:hint="eastAsia" w:eastAsia="楷体_GB2312"/>
          <w:kern w:val="0"/>
          <w:sz w:val="32"/>
          <w:szCs w:val="32"/>
        </w:rPr>
        <w:t>第五章  法律责任</w:t>
      </w:r>
    </w:p>
    <w:p>
      <w:pPr>
        <w:pStyle w:val="Normal"/>
        <w:widowControl/>
        <w:spacing w:lineRule="exact" w:line="590"/>
        <w:ind w:start="630" w:end="0"/>
        <w:rPr>
          <w:rFonts w:ascii="楷体_GB2312" w:hAnsi="楷体_GB2312" w:eastAsia="楷体_GB2312" w:cs="宋体" w:hint="eastAsia"/>
          <w:kern w:val="0"/>
          <w:sz w:val="32"/>
          <w:szCs w:val="32"/>
        </w:rPr>
      </w:pPr>
      <w:r>
        <w:rPr>
          <w:rFonts w:ascii="楷体_GB2312" w:hAnsi="楷体_GB2312" w:cs="宋体" w:hint="eastAsia" w:eastAsia="楷体_GB2312"/>
          <w:kern w:val="0"/>
          <w:sz w:val="32"/>
          <w:szCs w:val="32"/>
        </w:rPr>
        <w:t>第六章  附则</w:t>
      </w:r>
    </w:p>
    <w:p>
      <w:pPr>
        <w:pStyle w:val="Normal"/>
        <w:snapToGrid w:val="false"/>
        <w:spacing w:lineRule="exact" w:line="590"/>
        <w:ind w:firstLineChars="200" w:startChars="0" w:start="0" w:endChars="0" w:end="0"/>
        <w:jc w:val="start"/>
        <w:rPr>
          <w:rFonts w:ascii="仿宋_GB2312" w:hAnsi="仿宋_GB2312" w:eastAsia="仿宋_GB2312" w:cs="宋体" w:hint="eastAsia"/>
          <w:kern w:val="0"/>
          <w:sz w:val="32"/>
          <w:szCs w:val="32"/>
        </w:rPr>
      </w:pPr>
      <w:r>
        <w:rPr>
          <w:rFonts w:eastAsia="仿宋_GB2312" w:cs="宋体" w:hint="eastAsia" w:ascii="仿宋_GB2312" w:hAnsi="仿宋_GB2312"/>
          <w:kern w:val="0"/>
          <w:sz w:val="32"/>
          <w:szCs w:val="32"/>
        </w:rPr>
      </w:r>
    </w:p>
    <w:p>
      <w:pPr>
        <w:pStyle w:val="Normal"/>
        <w:spacing w:lineRule="exact" w:line="590"/>
        <w:jc w:val="center"/>
        <w:rPr>
          <w:rFonts w:ascii="黑体" w:hAnsi="黑体" w:eastAsia="黑体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第一章  总则</w:t>
      </w:r>
    </w:p>
    <w:p>
      <w:pPr>
        <w:pStyle w:val="Normal"/>
        <w:spacing w:lineRule="exact" w:line="590"/>
        <w:jc w:val="center"/>
        <w:rPr>
          <w:rFonts w:ascii="黑体" w:hAnsi="黑体" w:eastAsia="黑体" w:hint="eastAsia"/>
          <w:sz w:val="32"/>
          <w:szCs w:val="32"/>
        </w:rPr>
      </w:pPr>
      <w:r>
        <w:rPr>
          <w:rFonts w:eastAsia="黑体" w:hint="eastAsia" w:ascii="黑体" w:hAnsi="黑体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为了加强水生态监测，保护与修复水生态系统，促进经济社会可持续发展，根据《中华人民共和国水法》等法律、法规规定，结合本市实际</w:t>
      </w:r>
      <w:r>
        <w:rPr>
          <w:rFonts w:eastAsia="仿宋_GB2312" w:hint="eastAsia" w:ascii="仿宋_GB2312" w:hAnsi="仿宋_GB2312"/>
          <w:sz w:val="32"/>
          <w:szCs w:val="32"/>
        </w:rPr>
        <w:t>,</w:t>
      </w:r>
      <w:r>
        <w:rPr>
          <w:rFonts w:ascii="仿宋_GB2312" w:hAnsi="仿宋_GB2312" w:hint="eastAsia" w:eastAsia="仿宋_GB2312"/>
          <w:sz w:val="32"/>
          <w:szCs w:val="32"/>
        </w:rPr>
        <w:t>制定本条例。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本条例适用于本市行政区域内水生态监测及其相关活动。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本条例所称水生态，是指水生生物和环境之间相互作用的生态系统。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本条例所称水生态监测，是指通过对水文、水生生物、水质等水生态要素的监测和数据收集，分析评价水生态的现状和变化</w:t>
      </w:r>
      <w:r>
        <w:rPr>
          <w:rFonts w:eastAsia="仿宋_GB2312" w:hint="eastAsia" w:ascii="仿宋_GB2312" w:hAnsi="仿宋_GB2312"/>
          <w:sz w:val="32"/>
          <w:szCs w:val="32"/>
        </w:rPr>
        <w:t>,</w:t>
      </w:r>
      <w:r>
        <w:rPr>
          <w:rFonts w:ascii="仿宋_GB2312" w:hAnsi="仿宋_GB2312" w:hint="eastAsia" w:eastAsia="仿宋_GB2312"/>
          <w:sz w:val="32"/>
          <w:szCs w:val="32"/>
        </w:rPr>
        <w:t>为水生态系统保护与修复提供依据的活动。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市水行政主管部门负责本条例的组织实施。市水生态监测机构负责水生态监测的日常管理工作。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区、县（市）水行政主管部门应当按照职责权限，负责本辖区内水生态监测工作。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环境保护、林业、农业等部门按照各自职责，负责水生态监测的相关工作。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第五条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市和区、县（市）人民政府应当加强水生态监测系统建设，逐步完善水生态评估体系，发挥水生态监测工作在政府决策、经济社会发展和服务社会公众中的作用。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市和区、县（市）人民政府应当将水生态监测工作所需经费列入本级财政预算，保障水生态监测工作的开展。</w:t>
      </w:r>
    </w:p>
    <w:p>
      <w:pPr>
        <w:pStyle w:val="Normal"/>
        <w:spacing w:lineRule="exact" w:line="590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第二章  规划与建设</w:t>
      </w:r>
    </w:p>
    <w:p>
      <w:pPr>
        <w:pStyle w:val="Normal"/>
        <w:spacing w:lineRule="exact" w:line="590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第七条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市水行政主管部门应当会同市发展和改革、环境保护、城乡规划、农业、林业等部门，根据市水生态保护与修复规划，组织编制市水生态监测规划，报市人民政府批准。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市和区、县（市）水行政主管部门应当根据市水生态监测规划，组织设立水生态监测站点。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水生态情势发生变化，需要调整水生态监测站点的，由市和区、县（市）水行政主管部门提出调整建议，报市人民政府批准。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禁止擅自移动、撤销水生态监测站点或者改变水生态监测站点的用途。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设立水生态监测站点应当具备下列条件：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 xml:space="preserve">（一）具有专用水生态监测站房及附属设施； 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（二）具有采样和分析仪器、通信传输设备；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（三）具有从事水生态监测的专业技术人员；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（四）法律、法规规定的其他条件。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市和区、县（市）水行政主管部门应当根据水生态监测规划，在需要进行监测的水库、江河、湖泊等水域</w:t>
      </w:r>
      <w:r>
        <w:rPr>
          <w:rFonts w:eastAsia="仿宋_GB2312" w:hint="eastAsia" w:ascii="仿宋_GB2312" w:hAnsi="仿宋_GB2312"/>
          <w:sz w:val="32"/>
          <w:szCs w:val="32"/>
        </w:rPr>
        <w:t>,</w:t>
      </w:r>
      <w:r>
        <w:rPr>
          <w:rFonts w:ascii="仿宋_GB2312" w:hAnsi="仿宋_GB2312" w:hint="eastAsia" w:eastAsia="仿宋_GB2312"/>
          <w:sz w:val="32"/>
          <w:szCs w:val="32"/>
        </w:rPr>
        <w:t>组织设立监测断面。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第十一条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新建、改建、扩建水利水电工程，根据水生态系统保护与修复规划需要进行水生态监测的，应当配套建设监测系统，所需经费纳入工程建设预算，并与主体工程同时验收，同时投入使用。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jc w:val="center"/>
        <w:rPr>
          <w:rFonts w:ascii="黑体" w:hAnsi="黑体" w:eastAsia="黑体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第三章  监测与评价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水生态监测包括以下内容：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（一）水位、流速、泥沙含量等水文监测；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 xml:space="preserve">（二）鱼类、底栖动物、浮游生物、水生植物等水生生物监测； 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（三）水体理化指标的水质监测。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第十三条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从事水生态监测活动的单位和人员，应当执行国家或者行业技术标准和规范，保证监测质量。未经市或者区、县（市）水行政主管部门同意，不得终止水生态监测或者改变水生态监测内容。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第十四条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从事水生态监测活动的单位和人员，应当按照规定及时、准确地报送水生态监测</w:t>
      </w:r>
      <w:r>
        <w:rPr>
          <w:rFonts w:ascii="仿宋_GB2312" w:hAnsi="仿宋_GB2312" w:cs="宋体" w:hint="eastAsia" w:eastAsia="仿宋_GB2312"/>
          <w:sz w:val="32"/>
          <w:szCs w:val="32"/>
        </w:rPr>
        <w:t>资料，不得漏报、迟报、瞒报、虚报。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  <w:u w:val="single"/>
        </w:rPr>
      </w:pPr>
      <w:r>
        <w:rPr>
          <w:rFonts w:ascii="黑体" w:hAnsi="黑体" w:hint="eastAsia" w:eastAsia="黑体"/>
          <w:sz w:val="32"/>
          <w:szCs w:val="32"/>
        </w:rPr>
        <w:t>第十五条</w:t>
      </w:r>
      <w:r>
        <w:rPr>
          <w:rFonts w:ascii="仿宋_GB2312" w:hAnsi="仿宋_GB2312" w:hint="eastAsia" w:eastAsia="仿宋_GB2312"/>
          <w:sz w:val="32"/>
          <w:szCs w:val="32"/>
        </w:rPr>
        <w:t xml:space="preserve">  从事水生态监测活动的单位和人员发现水生态异常的，应当立即向所在地水行政主管部门报告。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市水行政主管部门应当按照水生态系统的特性和保护要求，建立水生态监测和评价指标体系。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第十七条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 </w:t>
      </w:r>
      <w:r>
        <w:rPr>
          <w:rFonts w:ascii="仿宋_GB2312" w:hAnsi="仿宋_GB2312" w:hint="eastAsia" w:eastAsia="仿宋_GB2312"/>
          <w:sz w:val="32"/>
          <w:szCs w:val="32"/>
        </w:rPr>
        <w:t>市和区、县（市）水行政主管部门</w:t>
      </w:r>
      <w:r>
        <w:rPr>
          <w:rFonts w:ascii="仿宋_GB2312" w:hAnsi="仿宋_GB2312" w:cs="宋体" w:hint="eastAsia" w:eastAsia="仿宋_GB2312"/>
          <w:sz w:val="32"/>
          <w:szCs w:val="32"/>
        </w:rPr>
        <w:t>应当根据水生态监测和评价指标体系</w:t>
      </w:r>
      <w:r>
        <w:rPr>
          <w:rFonts w:ascii="仿宋_GB2312" w:hAnsi="仿宋_GB2312" w:hint="eastAsia" w:eastAsia="仿宋_GB2312"/>
          <w:sz w:val="32"/>
          <w:szCs w:val="32"/>
        </w:rPr>
        <w:t>，编制年度水生态评价报告。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年度水生态评价报告应当包括水生态基础资料的收集、整理和分析，水生态质量评价，水生态系统保护和修复建议，水资源的开发利用等内容。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市人民政府应当</w:t>
      </w:r>
      <w:r>
        <w:rPr>
          <w:rFonts w:ascii="仿宋_GB2312" w:hAnsi="仿宋_GB2312" w:cs="宋体" w:hint="eastAsia" w:eastAsia="仿宋_GB2312"/>
          <w:sz w:val="32"/>
          <w:szCs w:val="32"/>
        </w:rPr>
        <w:t>根据年度水生态评价报告，对市水生态系统保护与修复规划进行调整，</w:t>
      </w:r>
      <w:r>
        <w:rPr>
          <w:rFonts w:ascii="仿宋_GB2312" w:hAnsi="仿宋_GB2312" w:hint="eastAsia" w:eastAsia="仿宋_GB2312"/>
          <w:sz w:val="32"/>
          <w:szCs w:val="32"/>
        </w:rPr>
        <w:t>解决影响水生态系统保护与修复的相关问题。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第十九条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市和区、县（市）人民政府应当根据年度水生态评价报告调整水功能区，科学配置水资源，保障生活和生产用水安全。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市、县（市）水行政主管部门应当按照职责权限，依法向社会发布水生态监测信息和评价报告。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其他单位或者个人不得向社会发布水生态监测信息和评价报告。</w:t>
      </w:r>
    </w:p>
    <w:p>
      <w:pPr>
        <w:pStyle w:val="Normal"/>
        <w:widowControl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市水生态监测机构应当建立水生态监测数据库，存储和保管水生态监测资料。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第四章  设施设备与监测范围保护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第二十二条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市和区、县（市）水行政主管部门应当加强对水生态监测设施设备的保护和管理。水生态监测设施设备损坏的，应当及时组织修复。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第二十三条</w:t>
      </w:r>
      <w:r>
        <w:rPr>
          <w:rFonts w:ascii="仿宋_GB2312" w:hAnsi="仿宋_GB2312" w:hint="eastAsia" w:eastAsia="仿宋_GB2312"/>
          <w:sz w:val="32"/>
          <w:szCs w:val="32"/>
        </w:rPr>
        <w:t xml:space="preserve">  禁止侵占、毁坏或者擅自移动、使用水生态监测设施设备。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第二十四条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市水行政主管部门应当按照国家有关规定</w:t>
      </w:r>
      <w:r>
        <w:rPr>
          <w:rFonts w:eastAsia="仿宋_GB2312" w:hint="eastAsia" w:ascii="仿宋_GB2312" w:hAnsi="仿宋_GB2312"/>
          <w:sz w:val="32"/>
          <w:szCs w:val="32"/>
        </w:rPr>
        <w:t>,</w:t>
      </w:r>
      <w:r>
        <w:rPr>
          <w:rFonts w:ascii="仿宋_GB2312" w:hAnsi="仿宋_GB2312" w:hint="eastAsia" w:eastAsia="仿宋_GB2312"/>
          <w:sz w:val="32"/>
          <w:szCs w:val="32"/>
        </w:rPr>
        <w:t>划定水生态监测环境保护范围，报市人民政府批准后实施，并在保护范围边界设立地面标志。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第二十五条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在水生态监测环境保护范围内禁止从事下列活动：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（一）种植高秆作物、修建建筑物、停靠船只；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（二）堆放物料、倾倒废弃物；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（三）取土、挖砂、采石、探矿、淘金或者进行爆破作业；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（四）取水、排污；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（五）在监测断面、过河设备上空架设高压线路；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（六）设置阻水障碍物；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（七）放养家禽或者家畜；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（八）其他对水生态监测和信息采集有影响的活动。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第二十六条</w:t>
      </w:r>
      <w:r>
        <w:rPr>
          <w:rFonts w:ascii="仿宋_GB2312" w:hAnsi="仿宋_GB2312" w:hint="eastAsia" w:eastAsia="仿宋_GB2312"/>
          <w:sz w:val="32"/>
          <w:szCs w:val="32"/>
        </w:rPr>
        <w:t xml:space="preserve">  在水生态监测站点上下游修建影响水生态监测的工程，应当征得市或者区、县（市）水行政主管部门同意。因工程建设致使水生态监测站点改建的，所需费用由建设单位承担。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jc w:val="center"/>
        <w:rPr>
          <w:rFonts w:ascii="黑体" w:hAnsi="黑体" w:eastAsia="黑体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第五章  法律责任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第二十七条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z w:val="32"/>
          <w:szCs w:val="32"/>
        </w:rPr>
        <w:t xml:space="preserve"> 市和区、县（市）水行政主管部门及其工作人员有下列情形之一的，由本级人民政府、上级水行政主管部门或者监察机关依据职责权限，责令改正，通报批评；对直接负责的主管人员和其他直接责任人依法给予行政处分：</w:t>
      </w:r>
      <w:r>
        <w:rPr>
          <w:rFonts w:eastAsia="仿宋_GB2312" w:hint="eastAsia" w:ascii="仿宋_GB2312" w:hAnsi="仿宋_GB2312"/>
        </w:rPr>
        <w:br/>
      </w:r>
      <w:r>
        <w:rPr>
          <w:rFonts w:eastAsia="仿宋_GB2312" w:hint="eastAsia" w:ascii="仿宋_GB2312" w:hAnsi="仿宋_GB2312"/>
          <w:sz w:val="32"/>
          <w:szCs w:val="32"/>
        </w:rPr>
        <w:t xml:space="preserve">      </w:t>
      </w:r>
      <w:r>
        <w:rPr>
          <w:rFonts w:ascii="仿宋_GB2312" w:hAnsi="仿宋_GB2312" w:hint="eastAsia" w:eastAsia="仿宋_GB2312"/>
          <w:sz w:val="32"/>
          <w:szCs w:val="32"/>
        </w:rPr>
        <w:t>（一）擅自移动、撤销水生态监测站点或者改变水生态监测站点用途的；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（二）未按照规定</w:t>
      </w:r>
      <w:r>
        <w:rPr>
          <w:rFonts w:ascii="仿宋_GB2312" w:hAnsi="仿宋_GB2312" w:cs="宋体" w:hint="eastAsia" w:eastAsia="仿宋_GB2312"/>
          <w:sz w:val="32"/>
          <w:szCs w:val="32"/>
        </w:rPr>
        <w:t>发布水生态监测信息的</w:t>
      </w:r>
      <w:r>
        <w:rPr>
          <w:rFonts w:ascii="仿宋_GB2312" w:hAnsi="仿宋_GB2312" w:hint="eastAsia" w:eastAsia="仿宋_GB2312"/>
          <w:sz w:val="32"/>
          <w:szCs w:val="32"/>
        </w:rPr>
        <w:t>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（三）未按照规定编制年度水生态评价报告的；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</w:t>
      </w:r>
      <w:r>
        <w:rPr>
          <w:rFonts w:ascii="仿宋_GB2312" w:hAnsi="仿宋_GB2312" w:cs="宋体" w:hint="eastAsia" w:eastAsia="仿宋_GB2312"/>
          <w:sz w:val="32"/>
          <w:szCs w:val="32"/>
        </w:rPr>
        <w:t>漏报、迟报、瞒报、虚报水生态监测资料的</w:t>
      </w:r>
      <w:r>
        <w:rPr>
          <w:rFonts w:ascii="仿宋_GB2312" w:hAnsi="仿宋_GB2312" w:hint="eastAsia" w:eastAsia="仿宋_GB2312"/>
          <w:sz w:val="32"/>
          <w:szCs w:val="32"/>
        </w:rPr>
        <w:t xml:space="preserve">；      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（五）丢失、毁坏水生态监测资料的；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（六）不依法履行职责的其他行为。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第二十八条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规定，新建、改建、扩建水利水电工程需要建设而未配套建设水生态监测系统，或者配套建设的水生态监测系统未与主体工程同时验收、同时投入使用的，由市或者区、县（市）水行政主管部门责令限期采取补救措施，处五千元以上二万元以下罚款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第二十九条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违反本条例规定，侵占或者毁坏水生态监测设施设备的，由市或者区、县（市）水行政主管部门责令停止违法行为，限期恢复原状或者采取其他补救措施，并可以处一万元以上五万元以下罚款。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第三十条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违反本条例规定，在水生态监测环境保护范围内有下列行为之一的，由市或者区、县（市）水行政主管部门责令停止违法行为，限期恢复原状或者采取其他补救措施，并可以按照下列规定处罚： 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  <w:u w:val="single"/>
        </w:rPr>
      </w:pPr>
      <w:r>
        <w:rPr>
          <w:rFonts w:ascii="仿宋_GB2312" w:hAnsi="仿宋_GB2312" w:hint="eastAsia" w:eastAsia="仿宋_GB2312"/>
          <w:sz w:val="32"/>
          <w:szCs w:val="32"/>
        </w:rPr>
        <w:t>（一）种植高秆作物的，处一千元以上二千元以下罚款；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（二）修建建筑物、堆放废弃物料的，处二千元以上五千元以下罚款；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（三）取土、挖砂、采石、探矿、淘金、进行爆破作业的，处一万元以下罚款；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（四）取水、排污或者在监测断面、过河设备上空架设高压线路的，处一千元以上五千元以下罚款。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第三十一条</w:t>
      </w:r>
      <w:r>
        <w:rPr>
          <w:rFonts w:ascii="仿宋_GB2312" w:hAnsi="仿宋_GB2312" w:hint="eastAsia" w:eastAsia="仿宋_GB2312"/>
          <w:sz w:val="32"/>
          <w:szCs w:val="32"/>
        </w:rPr>
        <w:t xml:space="preserve">  违反本条例规定，在水生态监测环境保护范围内有下列行为之一的，由市水生态监测机构责令停止违法行为，限期恢复原状，并可以按照下列规定处罚：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（一）停靠船只、设置阻水障碍物的，处一千元以上二千元以下罚款；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（二）放养家禽或者家畜的，处五百元以上一千元以下罚款；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（三）擅自移动或者使用水生态监测设施设备的，处一千元以上五千元以下罚款。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spacing w:lineRule="exact" w:line="590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>第六章  附则</w:t>
      </w:r>
    </w:p>
    <w:p>
      <w:pPr>
        <w:pStyle w:val="Normal"/>
        <w:spacing w:lineRule="exact" w:line="590"/>
        <w:ind w:firstLineChars="200" w:startChars="0" w:start="0" w:endChars="0" w:end="0"/>
        <w:rPr>
          <w:rFonts w:ascii="黑体" w:hAnsi="黑体" w:eastAsia="黑体" w:hint="eastAsia"/>
          <w:sz w:val="32"/>
          <w:szCs w:val="32"/>
        </w:rPr>
      </w:pPr>
      <w:r>
        <w:rPr>
          <w:rFonts w:eastAsia="黑体" w:hint="eastAsia" w:ascii="黑体" w:hAnsi="黑体"/>
          <w:sz w:val="32"/>
          <w:szCs w:val="32"/>
        </w:rPr>
      </w:r>
    </w:p>
    <w:p>
      <w:pPr>
        <w:pStyle w:val="Normal"/>
        <w:spacing w:lineRule="exact" w:line="590"/>
        <w:ind w:firstLineChars="200" w:startChars="0" w:start="0" w:endChars="0" w:end="0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黑体" w:hAnsi="黑体" w:hint="eastAsia" w:eastAsia="黑体"/>
          <w:sz w:val="32"/>
          <w:szCs w:val="32"/>
        </w:rPr>
        <w:t xml:space="preserve">第三十二条  </w:t>
      </w:r>
      <w:r>
        <w:rPr>
          <w:rFonts w:ascii="仿宋_GB2312" w:hAnsi="仿宋_GB2312" w:hint="eastAsia" w:eastAsia="仿宋_GB2312"/>
          <w:sz w:val="32"/>
          <w:szCs w:val="32"/>
        </w:rPr>
        <w:t>水生态监测中所涉及的水文监测工作，按照国家和省的有关规定执行。</w:t>
      </w:r>
    </w:p>
    <w:p>
      <w:pPr>
        <w:pStyle w:val="Normal"/>
        <w:spacing w:lineRule="exact" w:line="590"/>
        <w:ind w:firstLineChars="200" w:startChars="0" w:start="0" w:endChars="0" w:end="0"/>
        <w:rPr/>
      </w:pPr>
      <w:r>
        <w:rPr>
          <w:rFonts w:ascii="黑体" w:hAnsi="黑体" w:hint="eastAsia" w:eastAsia="黑体"/>
          <w:sz w:val="32"/>
          <w:szCs w:val="32"/>
        </w:rPr>
        <w:t>第三十三条</w:t>
      </w:r>
      <w:r>
        <w:rPr>
          <w:rFonts w:ascii="仿宋_GB2312" w:hAnsi="仿宋_GB2312" w:cs="宋体" w:hint="eastAsia" w:eastAsia="仿宋_GB2312"/>
          <w:sz w:val="32"/>
          <w:szCs w:val="32"/>
        </w:rPr>
        <w:t xml:space="preserve"> </w:t>
      </w:r>
      <w:r>
        <w:rPr>
          <w:rFonts w:ascii="仿宋_GB2312" w:hAnsi="仿宋_GB2312" w:hint="eastAsia" w:eastAsia="仿宋_GB2312"/>
          <w:spacing w:val="-6"/>
          <w:sz w:val="32"/>
          <w:szCs w:val="32"/>
        </w:rPr>
        <w:t xml:space="preserve"> 本条例自</w:t>
      </w:r>
      <w:r>
        <w:rPr>
          <w:rFonts w:eastAsia="仿宋_GB2312" w:hint="eastAsia" w:ascii="仿宋_GB2312" w:hAnsi="仿宋_GB2312"/>
          <w:spacing w:val="-6"/>
          <w:sz w:val="32"/>
          <w:szCs w:val="32"/>
        </w:rPr>
        <w:t>2012</w:t>
      </w:r>
      <w:r>
        <w:rPr>
          <w:rFonts w:ascii="仿宋_GB2312" w:hAnsi="仿宋_GB2312" w:hint="eastAsia" w:eastAsia="仿宋_GB2312"/>
          <w:spacing w:val="-6"/>
          <w:sz w:val="32"/>
          <w:szCs w:val="32"/>
        </w:rPr>
        <w:t>年</w:t>
      </w:r>
      <w:r>
        <w:rPr>
          <w:rFonts w:eastAsia="仿宋_GB2312" w:hint="eastAsia" w:ascii="仿宋_GB2312" w:hAnsi="仿宋_GB2312"/>
          <w:spacing w:val="-6"/>
          <w:sz w:val="32"/>
          <w:szCs w:val="32"/>
        </w:rPr>
        <w:t>2</w:t>
      </w:r>
      <w:r>
        <w:rPr>
          <w:rFonts w:ascii="仿宋_GB2312" w:hAnsi="仿宋_GB2312" w:hint="eastAsia" w:eastAsia="仿宋_GB2312"/>
          <w:spacing w:val="-6"/>
          <w:sz w:val="32"/>
          <w:szCs w:val="32"/>
        </w:rPr>
        <w:t>月</w:t>
      </w:r>
      <w:r>
        <w:rPr>
          <w:rFonts w:eastAsia="仿宋_GB2312" w:hint="eastAsia" w:ascii="仿宋_GB2312" w:hAnsi="仿宋_GB2312"/>
          <w:spacing w:val="-6"/>
          <w:sz w:val="32"/>
          <w:szCs w:val="32"/>
        </w:rPr>
        <w:t>1</w:t>
      </w:r>
      <w:r>
        <w:rPr>
          <w:rFonts w:ascii="仿宋_GB2312" w:hAnsi="仿宋_GB2312" w:hint="eastAsia" w:eastAsia="仿宋_GB2312"/>
          <w:spacing w:val="-6"/>
          <w:sz w:val="32"/>
          <w:szCs w:val="32"/>
        </w:rPr>
        <w:t>日起</w:t>
      </w:r>
      <w:r>
        <w:rPr>
          <w:rFonts w:ascii="仿宋_GB2312" w:hAnsi="仿宋_GB2312" w:hint="eastAsia" w:eastAsia="仿宋_GB2312"/>
          <w:sz w:val="32"/>
          <w:szCs w:val="32"/>
        </w:rPr>
        <w:t>施行。</w:t>
      </w:r>
    </w:p>
    <w:sectPr>
      <w:footerReference w:type="default" r:id="rId2"/>
      <w:type w:val="nextPage"/>
      <w:pgSz w:w="11906" w:h="16838"/>
      <w:pgMar w:left="1531" w:right="1531" w:gutter="0" w:header="0" w:top="1928" w:footer="1531" w:bottom="181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简体">
    <w:charset w:val="86"/>
    <w:family w:val="script"/>
    <w:pitch w:val="default"/>
  </w:font>
  <w:font w:name="宋体">
    <w:charset w:val="86"/>
    <w:family w:val="auto"/>
    <w:pitch w:val="default"/>
  </w:font>
  <w:font w:name="楷体_GB2312">
    <w:charset w:val="86"/>
    <w:family w:val="modern"/>
    <w:pitch w:val="default"/>
  </w:font>
  <w:font w:name="仿宋_GB2312">
    <w:charset w:val="86"/>
    <w:family w:val="modern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0395" cy="34544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0395" cy="3454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Times New Roman" w:hAnsi="Times New Roman" w:cs="Times New Roman" w:hint="eastAsia"/>
                              <w:sz w:val="32"/>
                              <w:szCs w:val="32"/>
                            </w:rPr>
                          </w:pPr>
                          <w:r>
                            <w:rPr>
                              <w:rStyle w:val="PageNumber"/>
                              <w:rFonts w:cs="Times New Roman" w:hint="eastAsia" w:ascii="Times New Roman" w:hAnsi="Times New Roman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t>8</w:t>
                          </w:r>
                          <w:r>
                            <w:rPr>
                              <w:rFonts w:cs="Times New Roman" w:ascii="Times New Roman" w:hAnsi="Times New Roman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cs="Times New Roman" w:hint="eastAsia" w:ascii="Times New Roman" w:hAnsi="Times New Roman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.85pt;height:27.2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Times New Roman" w:hAnsi="Times New Roman" w:cs="Times New Roman" w:hint="eastAsia"/>
                        <w:sz w:val="32"/>
                        <w:szCs w:val="32"/>
                      </w:rPr>
                    </w:pPr>
                    <w:r>
                      <w:rPr>
                        <w:rStyle w:val="PageNumber"/>
                        <w:rFonts w:cs="Times New Roman" w:hint="eastAsia" w:ascii="Times New Roman" w:hAnsi="Times New Roman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t>8</w:t>
                    </w:r>
                    <w:r>
                      <w:rPr>
                        <w:rFonts w:cs="Times New Roman" w:ascii="Times New Roman" w:hAnsi="Times New Roman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Style w:val="PageNumber"/>
                        <w:rFonts w:cs="Times New Roman" w:hint="eastAsia" w:ascii="Times New Roman" w:hAnsi="Times New Roman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31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宋体"/>
      <w:color w:val="auto"/>
      <w:kern w:val="2"/>
      <w:sz w:val="21"/>
      <w:szCs w:val="21"/>
      <w:lang w:bidi="ar-SA" w:val="en-US" w:eastAsia="zh-CN"/>
    </w:rPr>
  </w:style>
  <w:style w:type="character" w:styleId="Style14">
    <w:name w:val="默认段落字体"/>
    <w:qFormat/>
    <w:rPr/>
  </w:style>
  <w:style w:type="character" w:styleId="CharChar2">
    <w:name w:val=" Char Char2"/>
    <w:basedOn w:val="Style14"/>
    <w:qFormat/>
    <w:rPr>
      <w:rFonts w:ascii="Times New Roman" w:hAnsi="Times New Roman" w:cs="Times New Roman"/>
      <w:kern w:val="2"/>
      <w:sz w:val="18"/>
      <w:szCs w:val="18"/>
    </w:rPr>
  </w:style>
  <w:style w:type="character" w:styleId="PageNumber">
    <w:name w:val="page number"/>
    <w:basedOn w:val="Style14"/>
    <w:rPr/>
  </w:style>
  <w:style w:type="character" w:styleId="CharChar1">
    <w:name w:val=" Char Char1"/>
    <w:basedOn w:val="Style14"/>
    <w:qFormat/>
    <w:rPr>
      <w:rFonts w:ascii="Times New Roman" w:hAnsi="Times New Roman" w:cs="Times New Roman"/>
      <w:kern w:val="2"/>
      <w:sz w:val="18"/>
      <w:szCs w:val="18"/>
    </w:rPr>
  </w:style>
  <w:style w:type="character" w:styleId="CharChar">
    <w:name w:val=" Char Char"/>
    <w:basedOn w:val="Style14"/>
    <w:qFormat/>
    <w:rPr>
      <w:rFonts w:ascii="Times New Roman" w:hAnsi="Times New Roman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列出段落"/>
    <w:basedOn w:val="Normal"/>
    <w:qFormat/>
    <w:pPr>
      <w:ind w:firstLineChars="200" w:startChars="0" w:start="0" w:endChars="0" w:end="0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2011-11-28T14:13:00Z</dcterms:created>
  <dc:creator>admin1</dc:creator>
  <dc:description/>
  <dc:language>en-US</dc:language>
  <cp:lastModifiedBy>Administrator</cp:lastModifiedBy>
  <cp:lastPrinted>2011-12-09T17:23:00Z</cp:lastPrinted>
  <dcterms:modified xsi:type="dcterms:W3CDTF">2017-01-06T10:09:34Z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