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hint="eastAsia"/>
          <w:sz w:val="44"/>
          <w:szCs w:val="44"/>
        </w:rPr>
      </w:pPr>
      <w:r>
        <w:rPr>
          <w:rFonts w:hint="eastAsia"/>
          <w:sz w:val="44"/>
          <w:szCs w:val="44"/>
        </w:rPr>
      </w:r>
    </w:p>
    <w:p>
      <w:pPr>
        <w:pStyle w:val="Normal"/>
        <w:jc w:val="center"/>
        <w:rPr>
          <w:rFonts w:hint="eastAsia"/>
          <w:sz w:val="44"/>
          <w:szCs w:val="44"/>
        </w:rPr>
      </w:pPr>
      <w:r>
        <w:rPr>
          <w:rFonts w:hint="eastAsia"/>
          <w:sz w:val="44"/>
          <w:szCs w:val="44"/>
        </w:rPr>
      </w:r>
    </w:p>
    <w:p>
      <w:pPr>
        <w:pStyle w:val="Normal"/>
        <w:jc w:val="center"/>
        <w:rPr>
          <w:rFonts w:hint="eastAsia"/>
          <w:sz w:val="44"/>
          <w:szCs w:val="44"/>
        </w:rPr>
      </w:pPr>
      <w:r>
        <w:rPr>
          <w:rFonts w:hint="eastAsia"/>
          <w:sz w:val="44"/>
          <w:szCs w:val="44"/>
        </w:rPr>
        <w:t>黑龙江省实施《中华人民共和国</w:t>
      </w:r>
    </w:p>
    <w:p>
      <w:pPr>
        <w:pStyle w:val="Normal"/>
        <w:jc w:val="center"/>
        <w:rPr>
          <w:rFonts w:hint="eastAsia"/>
          <w:sz w:val="44"/>
          <w:szCs w:val="44"/>
        </w:rPr>
      </w:pPr>
      <w:r>
        <w:rPr>
          <w:rFonts w:hint="eastAsia"/>
          <w:sz w:val="44"/>
          <w:szCs w:val="44"/>
        </w:rPr>
        <w:t>人民防空法》条例</w:t>
      </w:r>
    </w:p>
    <w:p>
      <w:pPr>
        <w:pStyle w:val="Normal"/>
        <w:ind w:firstLineChars="0" w:firstLine="0" w:startChars="400" w:endChars="400"/>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1997</w:t>
      </w:r>
      <w:r>
        <w:rPr>
          <w:rFonts w:ascii="楷体_GB2312" w:hAnsi="楷体_GB2312" w:hint="eastAsia" w:eastAsia="楷体_GB2312"/>
          <w:sz w:val="32"/>
          <w:szCs w:val="32"/>
        </w:rPr>
        <w:t>年</w:t>
      </w:r>
      <w:r>
        <w:rPr>
          <w:rFonts w:eastAsia="楷体_GB2312" w:hint="eastAsia" w:ascii="楷体_GB2312" w:hAnsi="楷体_GB2312"/>
          <w:sz w:val="32"/>
          <w:szCs w:val="32"/>
        </w:rPr>
        <w:t>8</w:t>
      </w:r>
      <w:r>
        <w:rPr>
          <w:rFonts w:ascii="楷体_GB2312" w:hAnsi="楷体_GB2312" w:hint="eastAsia" w:eastAsia="楷体_GB2312"/>
          <w:sz w:val="32"/>
          <w:szCs w:val="32"/>
        </w:rPr>
        <w:t>月</w:t>
      </w:r>
      <w:r>
        <w:rPr>
          <w:rFonts w:eastAsia="楷体_GB2312" w:hint="eastAsia" w:ascii="楷体_GB2312" w:hAnsi="楷体_GB2312"/>
          <w:sz w:val="32"/>
          <w:szCs w:val="32"/>
        </w:rPr>
        <w:t>20</w:t>
      </w:r>
      <w:r>
        <w:rPr>
          <w:rFonts w:ascii="楷体_GB2312" w:hAnsi="楷体_GB2312" w:hint="eastAsia" w:eastAsia="楷体_GB2312"/>
          <w:sz w:val="32"/>
          <w:szCs w:val="32"/>
        </w:rPr>
        <w:t>日黑龙江省第八届人民代表大会常务委员会第二十九次会议通过  根据</w:t>
      </w:r>
      <w:r>
        <w:rPr>
          <w:rFonts w:eastAsia="楷体_GB2312" w:hint="eastAsia" w:ascii="楷体_GB2312" w:hAnsi="楷体_GB2312"/>
          <w:sz w:val="32"/>
          <w:szCs w:val="32"/>
        </w:rPr>
        <w:t>2013</w:t>
      </w:r>
      <w:r>
        <w:rPr>
          <w:rFonts w:ascii="楷体_GB2312" w:hAnsi="楷体_GB2312" w:hint="eastAsia" w:eastAsia="楷体_GB2312"/>
          <w:sz w:val="32"/>
          <w:szCs w:val="32"/>
        </w:rPr>
        <w:t>年</w:t>
      </w:r>
      <w:r>
        <w:rPr>
          <w:rFonts w:eastAsia="楷体_GB2312" w:hint="eastAsia" w:ascii="楷体_GB2312" w:hAnsi="楷体_GB2312"/>
          <w:sz w:val="32"/>
          <w:szCs w:val="32"/>
        </w:rPr>
        <w:t>12</w:t>
      </w:r>
      <w:r>
        <w:rPr>
          <w:rFonts w:ascii="楷体_GB2312" w:hAnsi="楷体_GB2312" w:hint="eastAsia" w:eastAsia="楷体_GB2312"/>
          <w:sz w:val="32"/>
          <w:szCs w:val="32"/>
        </w:rPr>
        <w:t>月</w:t>
      </w:r>
      <w:r>
        <w:rPr>
          <w:rFonts w:eastAsia="楷体_GB2312" w:hint="eastAsia" w:ascii="楷体_GB2312" w:hAnsi="楷体_GB2312"/>
          <w:sz w:val="32"/>
          <w:szCs w:val="32"/>
        </w:rPr>
        <w:t>13</w:t>
      </w:r>
      <w:r>
        <w:rPr>
          <w:rFonts w:ascii="楷体_GB2312" w:hAnsi="楷体_GB2312" w:hint="eastAsia" w:eastAsia="楷体_GB2312"/>
          <w:sz w:val="32"/>
          <w:szCs w:val="32"/>
        </w:rPr>
        <w:t>日黑龙江省第十二届人民代表大会常务委员会第七次会议《关于废止和修改</w:t>
      </w:r>
      <w:r>
        <w:rPr>
          <w:rFonts w:eastAsia="楷体_GB2312" w:hint="eastAsia" w:ascii="楷体_GB2312" w:hAnsi="楷体_GB2312"/>
          <w:sz w:val="32"/>
          <w:szCs w:val="32"/>
        </w:rPr>
        <w:t>&lt;</w:t>
      </w:r>
      <w:r>
        <w:rPr>
          <w:rFonts w:ascii="楷体_GB2312" w:hAnsi="楷体_GB2312" w:hint="eastAsia" w:eastAsia="楷体_GB2312"/>
          <w:sz w:val="32"/>
          <w:szCs w:val="32"/>
        </w:rPr>
        <w:t>黑龙江省赌博处罚条例</w:t>
      </w:r>
      <w:r>
        <w:rPr>
          <w:rFonts w:eastAsia="楷体_GB2312" w:hint="eastAsia" w:ascii="楷体_GB2312" w:hAnsi="楷体_GB2312"/>
          <w:sz w:val="32"/>
          <w:szCs w:val="32"/>
        </w:rPr>
        <w:t>&gt;</w:t>
      </w:r>
      <w:r>
        <w:rPr>
          <w:rFonts w:ascii="楷体_GB2312" w:hAnsi="楷体_GB2312" w:hint="eastAsia" w:eastAsia="楷体_GB2312"/>
          <w:sz w:val="32"/>
          <w:szCs w:val="32"/>
        </w:rPr>
        <w:t xml:space="preserve">等十九部地方性法规的决定》第一次修正  </w:t>
      </w:r>
      <w:r>
        <w:rPr>
          <w:rFonts w:ascii="楷体_GB2312" w:hAnsi="楷体_GB2312" w:cs="Arial" w:hint="eastAsia" w:eastAsia="楷体_GB2312"/>
          <w:bCs/>
          <w:smallCaps/>
          <w:color w:val="000000"/>
          <w:kern w:val="0"/>
          <w:sz w:val="32"/>
          <w:szCs w:val="32"/>
        </w:rPr>
        <w:t>根据</w:t>
      </w:r>
      <w:r>
        <w:rPr>
          <w:rFonts w:eastAsia="楷体_GB2312" w:cs="仿宋_GB2312" w:hint="eastAsia" w:ascii="楷体_GB2312" w:hAnsi="楷体_GB2312"/>
          <w:bCs/>
          <w:sz w:val="32"/>
          <w:szCs w:val="32"/>
        </w:rPr>
        <w:t>2015</w:t>
      </w:r>
      <w:r>
        <w:rPr>
          <w:rFonts w:ascii="楷体_GB2312" w:hAnsi="楷体_GB2312" w:cs="仿宋_GB2312" w:hint="eastAsia" w:eastAsia="楷体_GB2312"/>
          <w:bCs/>
          <w:sz w:val="32"/>
          <w:szCs w:val="32"/>
        </w:rPr>
        <w:t>年</w:t>
      </w:r>
      <w:r>
        <w:rPr>
          <w:rFonts w:eastAsia="楷体_GB2312" w:cs="仿宋_GB2312" w:hint="eastAsia" w:ascii="楷体_GB2312" w:hAnsi="楷体_GB2312"/>
          <w:bCs/>
          <w:sz w:val="32"/>
          <w:szCs w:val="32"/>
        </w:rPr>
        <w:t>4</w:t>
      </w:r>
      <w:r>
        <w:rPr>
          <w:rFonts w:ascii="楷体_GB2312" w:hAnsi="楷体_GB2312" w:cs="仿宋_GB2312" w:hint="eastAsia" w:eastAsia="楷体_GB2312"/>
          <w:bCs/>
          <w:sz w:val="32"/>
          <w:szCs w:val="32"/>
        </w:rPr>
        <w:t>月</w:t>
      </w:r>
      <w:r>
        <w:rPr>
          <w:rFonts w:eastAsia="楷体_GB2312" w:cs="仿宋_GB2312" w:hint="eastAsia" w:ascii="楷体_GB2312" w:hAnsi="楷体_GB2312"/>
          <w:bCs/>
          <w:sz w:val="32"/>
          <w:szCs w:val="32"/>
        </w:rPr>
        <w:t>17</w:t>
      </w:r>
      <w:r>
        <w:rPr>
          <w:rFonts w:ascii="楷体_GB2312" w:hAnsi="楷体_GB2312" w:cs="仿宋_GB2312" w:hint="eastAsia" w:eastAsia="楷体_GB2312"/>
          <w:bCs/>
          <w:sz w:val="32"/>
          <w:szCs w:val="32"/>
        </w:rPr>
        <w:t>日黑龙江省第十二届人民代表大会常务委员会第十九次会议</w:t>
      </w:r>
      <w:r>
        <w:rPr>
          <w:rFonts w:ascii="楷体_GB2312" w:hAnsi="楷体_GB2312" w:cs="Arial" w:hint="eastAsia" w:eastAsia="楷体_GB2312"/>
          <w:bCs/>
          <w:smallCaps/>
          <w:color w:val="000000"/>
          <w:kern w:val="0"/>
          <w:sz w:val="32"/>
          <w:szCs w:val="32"/>
        </w:rPr>
        <w:t>《</w:t>
      </w:r>
      <w:r>
        <w:rPr>
          <w:rFonts w:ascii="楷体_GB2312" w:hAnsi="楷体_GB2312" w:cs="宋体;SimSun" w:hint="eastAsia" w:eastAsia="楷体_GB2312"/>
          <w:sz w:val="32"/>
          <w:szCs w:val="32"/>
        </w:rPr>
        <w:t>关于废止和修改</w:t>
      </w:r>
      <w:r>
        <w:rPr>
          <w:rFonts w:eastAsia="楷体_GB2312" w:cs="Arial" w:hint="eastAsia" w:ascii="楷体_GB2312" w:hAnsi="楷体_GB2312"/>
          <w:bCs/>
          <w:smallCaps/>
          <w:color w:val="000000"/>
          <w:kern w:val="0"/>
          <w:sz w:val="32"/>
          <w:szCs w:val="32"/>
        </w:rPr>
        <w:t>&lt;</w:t>
      </w:r>
      <w:r>
        <w:rPr>
          <w:rFonts w:ascii="楷体_GB2312" w:hAnsi="楷体_GB2312" w:cs="宋体;SimSun" w:hint="eastAsia" w:eastAsia="楷体_GB2312"/>
          <w:sz w:val="32"/>
          <w:szCs w:val="32"/>
        </w:rPr>
        <w:t>黑龙江省文化市场管理条例</w:t>
      </w:r>
      <w:r>
        <w:rPr>
          <w:rFonts w:eastAsia="楷体_GB2312" w:cs="Arial" w:hint="eastAsia" w:ascii="楷体_GB2312" w:hAnsi="楷体_GB2312"/>
          <w:bCs/>
          <w:smallCaps/>
          <w:color w:val="000000"/>
          <w:kern w:val="0"/>
          <w:sz w:val="32"/>
          <w:szCs w:val="32"/>
        </w:rPr>
        <w:t>&gt;</w:t>
      </w:r>
      <w:r>
        <w:rPr>
          <w:rFonts w:ascii="楷体_GB2312" w:hAnsi="楷体_GB2312" w:cs="宋体;SimSun" w:hint="eastAsia" w:eastAsia="楷体_GB2312"/>
          <w:sz w:val="32"/>
          <w:szCs w:val="32"/>
        </w:rPr>
        <w:t>等五十部地方性法规的决定</w:t>
      </w:r>
      <w:r>
        <w:rPr>
          <w:rFonts w:ascii="楷体_GB2312" w:hAnsi="楷体_GB2312" w:cs="Arial" w:hint="eastAsia" w:eastAsia="楷体_GB2312"/>
          <w:bCs/>
          <w:smallCaps/>
          <w:color w:val="000000"/>
          <w:kern w:val="0"/>
          <w:sz w:val="32"/>
          <w:szCs w:val="32"/>
        </w:rPr>
        <w:t xml:space="preserve">》第二次修正  </w:t>
      </w:r>
      <w:r>
        <w:rPr>
          <w:rFonts w:ascii="楷体_GB2312" w:hAnsi="楷体_GB2312" w:hint="eastAsia" w:eastAsia="楷体_GB2312"/>
          <w:sz w:val="32"/>
          <w:szCs w:val="32"/>
        </w:rPr>
        <w:t>根据</w:t>
      </w:r>
      <w:r>
        <w:rPr>
          <w:rFonts w:eastAsia="楷体_GB2312" w:hint="eastAsia" w:ascii="楷体_GB2312" w:hAnsi="楷体_GB2312"/>
          <w:sz w:val="32"/>
          <w:szCs w:val="32"/>
        </w:rPr>
        <w:t>2016</w:t>
      </w:r>
      <w:r>
        <w:rPr>
          <w:rFonts w:ascii="楷体_GB2312" w:hAnsi="楷体_GB2312" w:hint="eastAsia" w:eastAsia="楷体_GB2312"/>
          <w:sz w:val="32"/>
          <w:szCs w:val="32"/>
        </w:rPr>
        <w:t>年</w:t>
      </w:r>
      <w:r>
        <w:rPr>
          <w:rFonts w:eastAsia="楷体_GB2312" w:hint="eastAsia" w:ascii="楷体_GB2312" w:hAnsi="楷体_GB2312"/>
          <w:sz w:val="32"/>
          <w:szCs w:val="32"/>
        </w:rPr>
        <w:t>12</w:t>
      </w:r>
      <w:r>
        <w:rPr>
          <w:rFonts w:ascii="楷体_GB2312" w:hAnsi="楷体_GB2312" w:hint="eastAsia" w:eastAsia="楷体_GB2312"/>
          <w:sz w:val="32"/>
          <w:szCs w:val="32"/>
        </w:rPr>
        <w:t>月</w:t>
      </w:r>
      <w:r>
        <w:rPr>
          <w:rFonts w:eastAsia="楷体_GB2312" w:hint="eastAsia" w:ascii="楷体_GB2312" w:hAnsi="楷体_GB2312"/>
          <w:sz w:val="32"/>
          <w:szCs w:val="32"/>
        </w:rPr>
        <w:t>16</w:t>
      </w:r>
      <w:r>
        <w:rPr>
          <w:rFonts w:ascii="楷体_GB2312" w:hAnsi="楷体_GB2312" w:hint="eastAsia" w:eastAsia="楷体_GB2312"/>
          <w:sz w:val="32"/>
          <w:szCs w:val="32"/>
        </w:rPr>
        <w:t>日省十二届人大常委会第三十次会议《黑龙江省人民代表大会常务委员会关于废止和修改</w:t>
      </w:r>
      <w:r>
        <w:rPr>
          <w:rFonts w:eastAsia="楷体_GB2312" w:hint="eastAsia" w:ascii="楷体_GB2312" w:hAnsi="楷体_GB2312"/>
          <w:sz w:val="32"/>
          <w:szCs w:val="32"/>
        </w:rPr>
        <w:t>&lt;</w:t>
      </w:r>
      <w:r>
        <w:rPr>
          <w:rFonts w:ascii="楷体_GB2312" w:hAnsi="楷体_GB2312" w:hint="eastAsia" w:eastAsia="楷体_GB2312"/>
          <w:sz w:val="32"/>
          <w:szCs w:val="32"/>
        </w:rPr>
        <w:t>黑龙江省特种设备安全监察条例</w:t>
      </w:r>
      <w:r>
        <w:rPr>
          <w:rFonts w:eastAsia="楷体_GB2312" w:hint="eastAsia" w:ascii="楷体_GB2312" w:hAnsi="楷体_GB2312"/>
          <w:sz w:val="32"/>
          <w:szCs w:val="32"/>
        </w:rPr>
        <w:t>&gt;</w:t>
      </w:r>
      <w:r>
        <w:rPr>
          <w:rFonts w:ascii="楷体_GB2312" w:hAnsi="楷体_GB2312" w:hint="eastAsia" w:eastAsia="楷体_GB2312"/>
          <w:sz w:val="32"/>
          <w:szCs w:val="32"/>
        </w:rPr>
        <w:t>等</w:t>
      </w:r>
      <w:r>
        <w:rPr>
          <w:rFonts w:eastAsia="楷体_GB2312" w:hint="eastAsia" w:ascii="楷体_GB2312" w:hAnsi="楷体_GB2312"/>
          <w:sz w:val="32"/>
          <w:szCs w:val="32"/>
        </w:rPr>
        <w:t>44</w:t>
      </w:r>
      <w:r>
        <w:rPr>
          <w:rFonts w:ascii="楷体_GB2312" w:hAnsi="楷体_GB2312" w:hint="eastAsia" w:eastAsia="楷体_GB2312"/>
          <w:sz w:val="32"/>
          <w:szCs w:val="32"/>
        </w:rPr>
        <w:t>部地方性法规的决定》第三次修正）</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第一条</w:t>
      </w:r>
      <w:r>
        <w:rPr>
          <w:rFonts w:ascii="仿宋_GB2312" w:hAnsi="仿宋_GB2312" w:hint="eastAsia" w:eastAsia="仿宋_GB2312"/>
          <w:sz w:val="32"/>
          <w:szCs w:val="32"/>
        </w:rPr>
        <w:t>　依据《中华人民共和国人民防空法》（以下简称《人民防空法》）等国家有关法律、法规，结合本省实际，制定本条例。</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第二条</w:t>
      </w:r>
      <w:r>
        <w:rPr>
          <w:rFonts w:ascii="仿宋_GB2312" w:hAnsi="仿宋_GB2312" w:hint="eastAsia" w:eastAsia="仿宋_GB2312"/>
          <w:sz w:val="32"/>
          <w:szCs w:val="32"/>
        </w:rPr>
        <w:t>　在本省行政区域内一切组织和个人，均应当遵守本条例，都有得到人民防空保护的权利，都必须依法履行人民防空的义务。</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第三条</w:t>
      </w:r>
      <w:r>
        <w:rPr>
          <w:rFonts w:ascii="仿宋_GB2312" w:hAnsi="仿宋_GB2312" w:hint="eastAsia" w:eastAsia="仿宋_GB2312"/>
          <w:sz w:val="32"/>
          <w:szCs w:val="32"/>
        </w:rPr>
        <w:t>　人民防空实行长期准备、重点建设、平战结合的方针，贯彻与经济建设协调发展、与城市建设相结合的原则。</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第四条</w:t>
      </w:r>
      <w:r>
        <w:rPr>
          <w:rFonts w:ascii="仿宋_GB2312" w:hAnsi="仿宋_GB2312" w:hint="eastAsia" w:eastAsia="仿宋_GB2312"/>
          <w:sz w:val="32"/>
          <w:szCs w:val="32"/>
        </w:rPr>
        <w:t>　省人民政府、省军区领导全省人民防空工作。</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市（行署）、县（市、区）人民政府和同级军事机关领导本行政区域的人民防空工作。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第五条</w:t>
      </w:r>
      <w:r>
        <w:rPr>
          <w:rFonts w:ascii="仿宋_GB2312" w:hAnsi="仿宋_GB2312" w:hint="eastAsia" w:eastAsia="仿宋_GB2312"/>
          <w:sz w:val="32"/>
          <w:szCs w:val="32"/>
        </w:rPr>
        <w:t>　省人民防空主管部门是省人民政府行政职能部门，负责管理全省人民防空工作。</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市（行署）、县（市、区）人民防空主管部门（以下简称人民防空主管部门）是同级人民政府行政职能部门，负责管理本行政区域的人民防空工作。</w:t>
      </w:r>
    </w:p>
    <w:p>
      <w:pPr>
        <w:pStyle w:val="Normal"/>
        <w:rPr/>
      </w:pPr>
      <w:r>
        <w:rPr>
          <w:rFonts w:ascii="仿宋_GB2312" w:hAnsi="仿宋_GB2312" w:hint="eastAsia" w:eastAsia="仿宋_GB2312"/>
          <w:sz w:val="32"/>
          <w:szCs w:val="32"/>
        </w:rPr>
        <w:t>　　县级以上人民政府的</w:t>
      </w:r>
      <w:r>
        <w:rPr>
          <w:rFonts w:ascii="仿宋_GB2312" w:hAnsi="仿宋_GB2312" w:cs="宋体;SimSun" w:hint="eastAsia" w:eastAsia="仿宋_GB2312"/>
          <w:sz w:val="32"/>
          <w:szCs w:val="32"/>
        </w:rPr>
        <w:t>发展和改革</w:t>
      </w:r>
      <w:r>
        <w:rPr>
          <w:rFonts w:ascii="仿宋_GB2312" w:hAnsi="仿宋_GB2312" w:hint="eastAsia" w:eastAsia="仿宋_GB2312"/>
          <w:sz w:val="32"/>
          <w:szCs w:val="32"/>
        </w:rPr>
        <w:t>、规划、建设等有关部门在各自的职责范围内负责有关的人民防空工作。</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第六条</w:t>
      </w:r>
      <w:r>
        <w:rPr>
          <w:rFonts w:ascii="仿宋_GB2312" w:hAnsi="仿宋_GB2312" w:hint="eastAsia" w:eastAsia="仿宋_GB2312"/>
          <w:sz w:val="32"/>
          <w:szCs w:val="32"/>
        </w:rPr>
        <w:t xml:space="preserve">　各级人民政府和同级军事机关应当根据国家规定的城市防护类别和标准，实行分类防护，在本行政区域内确定防护重点和重要经济目标，制定战时防护隐蔽措施和应急抢修方案。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有关部门和单位应当按有关规定建设和完善重要经济目标的防护设施并负责维护管理。</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第七条</w:t>
      </w:r>
      <w:r>
        <w:rPr>
          <w:rFonts w:ascii="仿宋_GB2312" w:hAnsi="仿宋_GB2312" w:hint="eastAsia" w:eastAsia="仿宋_GB2312"/>
          <w:sz w:val="32"/>
          <w:szCs w:val="32"/>
        </w:rPr>
        <w:t>　县级以上人民政府和军事机关要有计划地组织实施综合性防空袭演习，人民防空主管部门应当组织实施综合性防空袭演习，人民防空主管部门应当组织实施专项防空袭演习，普及防空常识，提高全民的防空意识。有关单位应当提供人员、物资、设备保障。</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第八条</w:t>
      </w:r>
      <w:r>
        <w:rPr>
          <w:rFonts w:ascii="仿宋_GB2312" w:hAnsi="仿宋_GB2312" w:hint="eastAsia" w:eastAsia="仿宋_GB2312"/>
          <w:sz w:val="32"/>
          <w:szCs w:val="32"/>
        </w:rPr>
        <w:t>　县级以上人民政府应当将人民防空建设纳入国民经济和社会发展计划。</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地方人民政府负担的人民防空建设经费，由人民防空主管部门编制人民防空建设经费年度计划，按规定程序批准后，列入同级财政年度预算。有关单位应当按照国家和省人民政府的规定负担人民防空建设费用。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第九条</w:t>
      </w:r>
      <w:r>
        <w:rPr>
          <w:rFonts w:ascii="仿宋_GB2312" w:hAnsi="仿宋_GB2312" w:hint="eastAsia" w:eastAsia="仿宋_GB2312"/>
          <w:sz w:val="32"/>
          <w:szCs w:val="32"/>
        </w:rPr>
        <w:t>　在城市规划区域内新建民用建筑，应当按国家和省有关规定，修建防空地下室。不宜修建防空地下室的民用建筑，建设单位应当按规定向人民防空主管部门缴纳易地建设费。</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上级人民防空主管部门应当定期对下级人民防空主管部门结合民用建筑修建防空地下室工作进行检查监督，对不建防空地下室、不缴纳防空地下室易地建设费的，可以直接查处。</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第十条</w:t>
      </w:r>
      <w:r>
        <w:rPr>
          <w:rFonts w:ascii="仿宋_GB2312" w:hAnsi="仿宋_GB2312" w:hint="eastAsia" w:eastAsia="仿宋_GB2312"/>
          <w:sz w:val="32"/>
          <w:szCs w:val="32"/>
        </w:rPr>
        <w:t>　各机关、团体、企事业单位（含私营、外商独资、合资、合作企业）和个体业者，应当依据国家规定按城镇职工</w:t>
      </w:r>
      <w:r>
        <w:rPr>
          <w:rFonts w:eastAsia="仿宋_GB2312" w:hint="eastAsia" w:ascii="仿宋_GB2312" w:hAnsi="仿宋_GB2312"/>
          <w:sz w:val="32"/>
          <w:szCs w:val="32"/>
        </w:rPr>
        <w:t>1-2%</w:t>
      </w:r>
      <w:r>
        <w:rPr>
          <w:rFonts w:ascii="仿宋_GB2312" w:hAnsi="仿宋_GB2312" w:hint="eastAsia" w:eastAsia="仿宋_GB2312"/>
          <w:sz w:val="32"/>
          <w:szCs w:val="32"/>
        </w:rPr>
        <w:t>的比例向当地人民防空主管部门缴纳人员工资、福利、劳保用品和零星工具等义务工费，收费标准按省有关规定执行。</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第十一条</w:t>
      </w:r>
      <w:r>
        <w:rPr>
          <w:rFonts w:ascii="仿宋_GB2312" w:hAnsi="仿宋_GB2312" w:hint="eastAsia" w:eastAsia="仿宋_GB2312"/>
          <w:sz w:val="32"/>
          <w:szCs w:val="32"/>
        </w:rPr>
        <w:t>　鼓励平时开发利用人民防空工程和设施为经济建设和人民生活服务。平时使用人民防空工程和设施实行有偿使用和谁投资、谁受益的原则，平时使用人民防空工程和设施应当遵守人民防空有关规定。</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第十二条</w:t>
      </w:r>
      <w:r>
        <w:rPr>
          <w:rFonts w:ascii="仿宋_GB2312" w:hAnsi="仿宋_GB2312" w:hint="eastAsia" w:eastAsia="仿宋_GB2312"/>
          <w:sz w:val="32"/>
          <w:szCs w:val="32"/>
        </w:rPr>
        <w:t xml:space="preserve">　人民防空工程不得擅自拆除，确需拆除的，应当经省、市（行署）人民防空主管部门依据各自审批权限批准后，由拆除单位或个人负责补建或按现行造价向当地人民防空主管部门缴纳拆除补偿费，由人民防空主管部门组织补建。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第十三条</w:t>
      </w:r>
      <w:r>
        <w:rPr>
          <w:rFonts w:ascii="仿宋_GB2312" w:hAnsi="仿宋_GB2312" w:hint="eastAsia" w:eastAsia="仿宋_GB2312"/>
          <w:sz w:val="32"/>
          <w:szCs w:val="32"/>
        </w:rPr>
        <w:t>　人民防空主管部门按本条例规定收取的人民防空工程和设施有偿使用费等，应当作为人民防空专项经费。人民防空专项经费纳入财政预算外资金管理，用于人民防空建设事业，各级人民政府和有关部门不得以任何理由占用、提留或挪作他用，保证人民防空经费的战备性质和专项投资方向。</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第十四条</w:t>
      </w:r>
      <w:r>
        <w:rPr>
          <w:rFonts w:ascii="仿宋_GB2312" w:hAnsi="仿宋_GB2312" w:hint="eastAsia" w:eastAsia="仿宋_GB2312"/>
          <w:sz w:val="32"/>
          <w:szCs w:val="32"/>
        </w:rPr>
        <w:t>　城市地下空间开发利用应当实行与人民防空相结合的原则。人民防空工程建设规划范围内，地下空间开发利用应当符合人民防空的规定。</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第十五条</w:t>
      </w:r>
      <w:r>
        <w:rPr>
          <w:rFonts w:ascii="仿宋_GB2312" w:hAnsi="仿宋_GB2312" w:hint="eastAsia" w:eastAsia="仿宋_GB2312"/>
          <w:sz w:val="32"/>
          <w:szCs w:val="32"/>
        </w:rPr>
        <w:t xml:space="preserve">　人民防空工程建设必须符合国家规定的防护标准和质量标准，竣工验收由批准立项的人民防空主管部门负责。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第十六条</w:t>
      </w:r>
      <w:r>
        <w:rPr>
          <w:rFonts w:ascii="仿宋_GB2312" w:hAnsi="仿宋_GB2312" w:hint="eastAsia" w:eastAsia="仿宋_GB2312"/>
          <w:sz w:val="32"/>
          <w:szCs w:val="32"/>
        </w:rPr>
        <w:t>　人民防空主管部门应当加强人民防空工程的口部管理，任何单位和个人不得擅自在人民防空工程口部附近修建建筑物或者地下构筑物。确需修建的，应当符合人民防空工程设计规范的有关规定，经人民防空主管部门审核同意后，方可办理规划等审批手续。</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第十七条</w:t>
      </w:r>
      <w:r>
        <w:rPr>
          <w:rFonts w:ascii="仿宋_GB2312" w:hAnsi="仿宋_GB2312" w:hint="eastAsia" w:eastAsia="仿宋_GB2312"/>
          <w:sz w:val="32"/>
          <w:szCs w:val="32"/>
        </w:rPr>
        <w:t>　任何单位和个人未经批准，不得在人民防空工程</w:t>
      </w:r>
      <w:r>
        <w:rPr>
          <w:rFonts w:eastAsia="仿宋_GB2312" w:hint="eastAsia" w:ascii="仿宋_GB2312" w:hAnsi="仿宋_GB2312"/>
          <w:sz w:val="32"/>
          <w:szCs w:val="32"/>
        </w:rPr>
        <w:t>50</w:t>
      </w:r>
      <w:r>
        <w:rPr>
          <w:rFonts w:ascii="仿宋_GB2312" w:hAnsi="仿宋_GB2312" w:hint="eastAsia" w:eastAsia="仿宋_GB2312"/>
          <w:sz w:val="32"/>
          <w:szCs w:val="32"/>
        </w:rPr>
        <w:t xml:space="preserve">米范围内取土、采石及进行影响人民防空工程使用和降低防护能力的作业。确需在人民防空工程安全范围内建设地面设施和埋设地下管线的，应当经人民防空主管部门同意后，方可施工。工程竣工后由施工单位负责清理现场，恢复原状。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第十八条</w:t>
      </w:r>
      <w:r>
        <w:rPr>
          <w:rFonts w:ascii="仿宋_GB2312" w:hAnsi="仿宋_GB2312" w:hint="eastAsia" w:eastAsia="仿宋_GB2312"/>
          <w:sz w:val="32"/>
          <w:szCs w:val="32"/>
        </w:rPr>
        <w:t>　人民防空工程和设施的消防、安全和维护管理平时由使用单位或个人负责。各级人民防空主管部门必须加强监督、检查和指导。</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第十九条</w:t>
      </w:r>
      <w:r>
        <w:rPr>
          <w:rFonts w:ascii="仿宋_GB2312" w:hAnsi="仿宋_GB2312" w:hint="eastAsia" w:eastAsia="仿宋_GB2312"/>
          <w:sz w:val="32"/>
          <w:szCs w:val="32"/>
        </w:rPr>
        <w:t>　各级人民政府应当依法保障人民防空通信、警报的畅通。各级人民防空主管部门负责制定本行政区域人民防空通信、警报建设规划，组织本行政区域人民防空通信、警报网的建设和管理。</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第二十条</w:t>
      </w:r>
      <w:r>
        <w:rPr>
          <w:rFonts w:ascii="仿宋_GB2312" w:hAnsi="仿宋_GB2312" w:hint="eastAsia" w:eastAsia="仿宋_GB2312"/>
          <w:sz w:val="32"/>
          <w:szCs w:val="32"/>
        </w:rPr>
        <w:t xml:space="preserve">　各级人民防空主管部门应当根据人民防空通信警报建设规划，在通信、广播、电视等系统安装用于传递和发放防空警报设备，并组织必要演习，有关单位应当积极配合并提供方便条件。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设置在有关单位的人民防空警报设备、设施，由所在单位维护管理，并承担所需费用。</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各级人民防空主管部门可以按有关规定利用人民防空通信设施为社会服务，并接受通信主管部门的行业管理。</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第二十一条</w:t>
      </w:r>
      <w:r>
        <w:rPr>
          <w:rFonts w:ascii="仿宋_GB2312" w:hAnsi="仿宋_GB2312" w:hint="eastAsia" w:eastAsia="仿宋_GB2312"/>
          <w:sz w:val="32"/>
          <w:szCs w:val="32"/>
        </w:rPr>
        <w:t>　各级人民政府应当组织人民防空通信、警报建设规划的实施。邮电通信部门应当优惠提供防空警报所需的有线控制电路，并确保畅通</w:t>
      </w:r>
      <w:r>
        <w:rPr>
          <w:rFonts w:eastAsia="仿宋_GB2312" w:hint="eastAsia" w:ascii="仿宋_GB2312" w:hAnsi="仿宋_GB2312"/>
          <w:sz w:val="32"/>
          <w:szCs w:val="32"/>
        </w:rPr>
        <w:t>;</w:t>
      </w:r>
      <w:r>
        <w:rPr>
          <w:rFonts w:ascii="仿宋_GB2312" w:hAnsi="仿宋_GB2312" w:hint="eastAsia" w:eastAsia="仿宋_GB2312"/>
          <w:sz w:val="32"/>
          <w:szCs w:val="32"/>
        </w:rPr>
        <w:t>人民防空通信网和警报网所需中继线，邮电通信部门应当根据其性质、用途按有关规定，合理收费，并予以优先提供。</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第二十二条</w:t>
      </w:r>
      <w:r>
        <w:rPr>
          <w:rFonts w:ascii="仿宋_GB2312" w:hAnsi="仿宋_GB2312" w:hint="eastAsia" w:eastAsia="仿宋_GB2312"/>
          <w:sz w:val="32"/>
          <w:szCs w:val="32"/>
        </w:rPr>
        <w:t>　各级无线电管理部门按有关规定对人民防空主管部门用于军事、战备的专用电台所需频率，必须予以保障，并免收频率占用费。</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第二十三条</w:t>
      </w:r>
      <w:r>
        <w:rPr>
          <w:rFonts w:ascii="仿宋_GB2312" w:hAnsi="仿宋_GB2312" w:hint="eastAsia" w:eastAsia="仿宋_GB2312"/>
          <w:sz w:val="32"/>
          <w:szCs w:val="32"/>
        </w:rPr>
        <w:t>　县级以上人民政府应当根据城市人民防空疏散计划，组织有关部门、单位和预定疏散地区，加强疏散地域建设，为战时城市疏散人口的安置和物资储运、供应做必要的准备。</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第二十四条</w:t>
      </w:r>
      <w:r>
        <w:rPr>
          <w:rFonts w:ascii="仿宋_GB2312" w:hAnsi="仿宋_GB2312" w:hint="eastAsia" w:eastAsia="仿宋_GB2312"/>
          <w:sz w:val="32"/>
          <w:szCs w:val="32"/>
        </w:rPr>
        <w:t>　县级以上人民政府应当组织建设后方基地和战备仓库，战时为城市防空袭服务。各级人民防空主管部门，平时应当开发利用后方基地自然资源，搞好平战结合。</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后方基地和战备仓库用地属于国防用地，其设施、设备属国防资产，依照《中华人民共和国国防法》和《中华人民共和国军事设施保护法》进行管理，不得侵占或损坏。</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第二十五条</w:t>
      </w:r>
      <w:r>
        <w:rPr>
          <w:rFonts w:ascii="仿宋_GB2312" w:hAnsi="仿宋_GB2312" w:hint="eastAsia" w:eastAsia="仿宋_GB2312"/>
          <w:sz w:val="32"/>
          <w:szCs w:val="32"/>
        </w:rPr>
        <w:t>　县级以上人民政府依法组建的群众防空组织，平时按城镇职工总数的</w:t>
      </w:r>
      <w:r>
        <w:rPr>
          <w:rFonts w:eastAsia="仿宋_GB2312" w:hint="eastAsia" w:ascii="仿宋_GB2312" w:hAnsi="仿宋_GB2312"/>
          <w:sz w:val="32"/>
          <w:szCs w:val="32"/>
        </w:rPr>
        <w:t>2‰</w:t>
      </w:r>
      <w:r>
        <w:rPr>
          <w:rFonts w:ascii="仿宋_GB2312" w:hAnsi="仿宋_GB2312" w:hint="eastAsia" w:eastAsia="仿宋_GB2312"/>
          <w:sz w:val="32"/>
          <w:szCs w:val="32"/>
        </w:rPr>
        <w:t>组建，战时按</w:t>
      </w:r>
      <w:r>
        <w:rPr>
          <w:rFonts w:eastAsia="仿宋_GB2312" w:hint="eastAsia" w:ascii="仿宋_GB2312" w:hAnsi="仿宋_GB2312"/>
          <w:sz w:val="32"/>
          <w:szCs w:val="32"/>
        </w:rPr>
        <w:t>2%</w:t>
      </w:r>
      <w:r>
        <w:rPr>
          <w:rFonts w:ascii="仿宋_GB2312" w:hAnsi="仿宋_GB2312" w:hint="eastAsia" w:eastAsia="仿宋_GB2312"/>
          <w:sz w:val="32"/>
          <w:szCs w:val="32"/>
        </w:rPr>
        <w:t>扩建。群众防空组织的训练，应当根据人民防空主管部门制定的训练大纲和训练计划，由组建单位组织实施。训练期间专业队员由所在单位给予与其他在岗人员同等待遇。</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第二十六条</w:t>
      </w:r>
      <w:r>
        <w:rPr>
          <w:rFonts w:ascii="仿宋_GB2312" w:hAnsi="仿宋_GB2312" w:hint="eastAsia" w:eastAsia="仿宋_GB2312"/>
          <w:sz w:val="32"/>
          <w:szCs w:val="32"/>
        </w:rPr>
        <w:t>　各级教育行政主管部门和各类学校应当安排人民防空教育内容，制定教育计划，并负责组织实施</w:t>
      </w:r>
      <w:r>
        <w:rPr>
          <w:rFonts w:eastAsia="仿宋_GB2312" w:hint="eastAsia" w:ascii="仿宋_GB2312" w:hAnsi="仿宋_GB2312"/>
          <w:sz w:val="32"/>
          <w:szCs w:val="32"/>
        </w:rPr>
        <w:t>;</w:t>
      </w:r>
      <w:r>
        <w:rPr>
          <w:rFonts w:ascii="仿宋_GB2312" w:hAnsi="仿宋_GB2312" w:hint="eastAsia" w:eastAsia="仿宋_GB2312"/>
          <w:sz w:val="32"/>
          <w:szCs w:val="32"/>
        </w:rPr>
        <w:t>国家机关、社会团体、企事业单位人员和其他人员，由所在单位和城乡基层人民政府按照国家人民防空教育计划和规定教育内容组织实施</w:t>
      </w:r>
      <w:r>
        <w:rPr>
          <w:rFonts w:eastAsia="仿宋_GB2312" w:hint="eastAsia" w:ascii="仿宋_GB2312" w:hAnsi="仿宋_GB2312"/>
          <w:sz w:val="32"/>
          <w:szCs w:val="32"/>
        </w:rPr>
        <w:t>;</w:t>
      </w:r>
      <w:r>
        <w:rPr>
          <w:rFonts w:ascii="仿宋_GB2312" w:hAnsi="仿宋_GB2312" w:hint="eastAsia" w:eastAsia="仿宋_GB2312"/>
          <w:sz w:val="32"/>
          <w:szCs w:val="32"/>
        </w:rPr>
        <w:t>各级人民防空主管部门依法进行监督检查。</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第二十七条</w:t>
      </w:r>
      <w:r>
        <w:rPr>
          <w:rFonts w:ascii="仿宋_GB2312" w:hAnsi="仿宋_GB2312" w:hint="eastAsia" w:eastAsia="仿宋_GB2312"/>
          <w:sz w:val="32"/>
          <w:szCs w:val="32"/>
        </w:rPr>
        <w:t>　城市新建民用建筑，不按国家和省有关规定修建防空地下室，又不缴纳易地建设费的，由县级以上人民防空主管部门对当事人责令限期改正，可以并处应当修建防空地下室建筑面积每平方米</w:t>
      </w:r>
      <w:r>
        <w:rPr>
          <w:rFonts w:eastAsia="仿宋_GB2312" w:hint="eastAsia" w:ascii="仿宋_GB2312" w:hAnsi="仿宋_GB2312"/>
          <w:sz w:val="32"/>
          <w:szCs w:val="32"/>
        </w:rPr>
        <w:t>20</w:t>
      </w:r>
      <w:r>
        <w:rPr>
          <w:rFonts w:ascii="仿宋_GB2312" w:hAnsi="仿宋_GB2312" w:hint="eastAsia" w:eastAsia="仿宋_GB2312"/>
          <w:sz w:val="32"/>
          <w:szCs w:val="32"/>
        </w:rPr>
        <w:t>元至</w:t>
      </w:r>
      <w:r>
        <w:rPr>
          <w:rFonts w:eastAsia="仿宋_GB2312" w:hint="eastAsia" w:ascii="仿宋_GB2312" w:hAnsi="仿宋_GB2312"/>
          <w:sz w:val="32"/>
          <w:szCs w:val="32"/>
        </w:rPr>
        <w:t>60</w:t>
      </w:r>
      <w:r>
        <w:rPr>
          <w:rFonts w:ascii="仿宋_GB2312" w:hAnsi="仿宋_GB2312" w:hint="eastAsia" w:eastAsia="仿宋_GB2312"/>
          <w:sz w:val="32"/>
          <w:szCs w:val="32"/>
        </w:rPr>
        <w:t>元的罚款，对一个单位工程的罚款最高不超过</w:t>
      </w:r>
      <w:r>
        <w:rPr>
          <w:rFonts w:eastAsia="仿宋_GB2312" w:hint="eastAsia" w:ascii="仿宋_GB2312" w:hAnsi="仿宋_GB2312"/>
          <w:sz w:val="32"/>
          <w:szCs w:val="32"/>
        </w:rPr>
        <w:t>10</w:t>
      </w:r>
      <w:r>
        <w:rPr>
          <w:rFonts w:ascii="仿宋_GB2312" w:hAnsi="仿宋_GB2312" w:hint="eastAsia" w:eastAsia="仿宋_GB2312"/>
          <w:sz w:val="32"/>
          <w:szCs w:val="32"/>
        </w:rPr>
        <w:t>万元。</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第二十八条</w:t>
      </w:r>
      <w:r>
        <w:rPr>
          <w:rFonts w:ascii="仿宋_GB2312" w:hAnsi="仿宋_GB2312" w:hint="eastAsia" w:eastAsia="仿宋_GB2312"/>
          <w:sz w:val="32"/>
          <w:szCs w:val="32"/>
        </w:rPr>
        <w:t>　违反本条例有下列行为之一的，由县级以上人民防空主管部门对当事人依法给予警告，并责令限期改正违法行为，可以对个人并处</w:t>
      </w:r>
      <w:r>
        <w:rPr>
          <w:rFonts w:eastAsia="仿宋_GB2312" w:hint="eastAsia" w:ascii="仿宋_GB2312" w:hAnsi="仿宋_GB2312"/>
          <w:sz w:val="32"/>
          <w:szCs w:val="32"/>
        </w:rPr>
        <w:t>5</w:t>
      </w:r>
      <w:r>
        <w:rPr>
          <w:rFonts w:ascii="仿宋_GB2312" w:hAnsi="仿宋_GB2312" w:hint="eastAsia" w:eastAsia="仿宋_GB2312"/>
          <w:sz w:val="32"/>
          <w:szCs w:val="32"/>
        </w:rPr>
        <w:t>百元至</w:t>
      </w:r>
      <w:r>
        <w:rPr>
          <w:rFonts w:eastAsia="仿宋_GB2312" w:hint="eastAsia" w:ascii="仿宋_GB2312" w:hAnsi="仿宋_GB2312"/>
          <w:sz w:val="32"/>
          <w:szCs w:val="32"/>
        </w:rPr>
        <w:t>5</w:t>
      </w:r>
      <w:r>
        <w:rPr>
          <w:rFonts w:ascii="仿宋_GB2312" w:hAnsi="仿宋_GB2312" w:hint="eastAsia" w:eastAsia="仿宋_GB2312"/>
          <w:sz w:val="32"/>
          <w:szCs w:val="32"/>
        </w:rPr>
        <w:t>千元的罚款</w:t>
      </w:r>
      <w:r>
        <w:rPr>
          <w:rFonts w:eastAsia="仿宋_GB2312" w:hint="eastAsia" w:ascii="仿宋_GB2312" w:hAnsi="仿宋_GB2312"/>
          <w:sz w:val="32"/>
          <w:szCs w:val="32"/>
        </w:rPr>
        <w:t>;</w:t>
      </w:r>
      <w:r>
        <w:rPr>
          <w:rFonts w:ascii="仿宋_GB2312" w:hAnsi="仿宋_GB2312" w:hint="eastAsia" w:eastAsia="仿宋_GB2312"/>
          <w:sz w:val="32"/>
          <w:szCs w:val="32"/>
        </w:rPr>
        <w:t>对单位并处</w:t>
      </w:r>
      <w:r>
        <w:rPr>
          <w:rFonts w:eastAsia="仿宋_GB2312" w:hint="eastAsia" w:ascii="仿宋_GB2312" w:hAnsi="仿宋_GB2312"/>
          <w:sz w:val="32"/>
          <w:szCs w:val="32"/>
        </w:rPr>
        <w:t>1</w:t>
      </w:r>
      <w:r>
        <w:rPr>
          <w:rFonts w:ascii="仿宋_GB2312" w:hAnsi="仿宋_GB2312" w:hint="eastAsia" w:eastAsia="仿宋_GB2312"/>
          <w:sz w:val="32"/>
          <w:szCs w:val="32"/>
        </w:rPr>
        <w:t>万元至</w:t>
      </w:r>
      <w:r>
        <w:rPr>
          <w:rFonts w:eastAsia="仿宋_GB2312" w:hint="eastAsia" w:ascii="仿宋_GB2312" w:hAnsi="仿宋_GB2312"/>
          <w:sz w:val="32"/>
          <w:szCs w:val="32"/>
        </w:rPr>
        <w:t>5</w:t>
      </w:r>
      <w:r>
        <w:rPr>
          <w:rFonts w:ascii="仿宋_GB2312" w:hAnsi="仿宋_GB2312" w:hint="eastAsia" w:eastAsia="仿宋_GB2312"/>
          <w:sz w:val="32"/>
          <w:szCs w:val="32"/>
        </w:rPr>
        <w:t>万元的罚款</w:t>
      </w:r>
      <w:r>
        <w:rPr>
          <w:rFonts w:eastAsia="仿宋_GB2312" w:hint="eastAsia" w:ascii="仿宋_GB2312" w:hAnsi="仿宋_GB2312"/>
          <w:sz w:val="32"/>
          <w:szCs w:val="32"/>
        </w:rPr>
        <w:t>;</w:t>
      </w:r>
      <w:r>
        <w:rPr>
          <w:rFonts w:ascii="仿宋_GB2312" w:hAnsi="仿宋_GB2312" w:hint="eastAsia" w:eastAsia="仿宋_GB2312"/>
          <w:sz w:val="32"/>
          <w:szCs w:val="32"/>
        </w:rPr>
        <w:t>造成损失的，应当依法赔偿损失</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（一）新建重要经济目标，不按国家防护类别、防护标准修建防护设施的</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（二）未按规定缴纳有关人民防空专项经费的</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（三）擅自在人民防空工程</w:t>
      </w:r>
      <w:r>
        <w:rPr>
          <w:rFonts w:eastAsia="仿宋_GB2312" w:hint="eastAsia" w:ascii="仿宋_GB2312" w:hAnsi="仿宋_GB2312"/>
          <w:sz w:val="32"/>
          <w:szCs w:val="32"/>
        </w:rPr>
        <w:t>50</w:t>
      </w:r>
      <w:r>
        <w:rPr>
          <w:rFonts w:ascii="仿宋_GB2312" w:hAnsi="仿宋_GB2312" w:hint="eastAsia" w:eastAsia="仿宋_GB2312"/>
          <w:sz w:val="32"/>
          <w:szCs w:val="32"/>
        </w:rPr>
        <w:t>米范围内取土、采石的</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（四）因管理不善造成人民防空警报设施毁坏、丢失的</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（五）侵占后方基地用地、损坏后方基地设备设施的</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（六）未履行提供人员、物资、设备等防空袭演习义务的。</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第二十九条</w:t>
      </w:r>
      <w:r>
        <w:rPr>
          <w:rFonts w:ascii="仿宋_GB2312" w:hAnsi="仿宋_GB2312" w:hint="eastAsia" w:eastAsia="仿宋_GB2312"/>
          <w:sz w:val="32"/>
          <w:szCs w:val="32"/>
        </w:rPr>
        <w:t>　故意损坏或盗窃人民防空通信、警报、后方基地等设备设施，干扰破坏防空袭演习或者在人民防空工程内生产、储存爆炸、剧毒、易燃、放射性等危险品，尚不构成犯罪的，依照治安管理处罚条例的有关规定处罚</w:t>
      </w:r>
      <w:r>
        <w:rPr>
          <w:rFonts w:eastAsia="仿宋_GB2312" w:hint="eastAsia" w:ascii="仿宋_GB2312" w:hAnsi="仿宋_GB2312"/>
          <w:sz w:val="32"/>
          <w:szCs w:val="32"/>
        </w:rPr>
        <w:t>;</w:t>
      </w:r>
      <w:r>
        <w:rPr>
          <w:rFonts w:ascii="仿宋_GB2312" w:hAnsi="仿宋_GB2312" w:hint="eastAsia" w:eastAsia="仿宋_GB2312"/>
          <w:sz w:val="32"/>
          <w:szCs w:val="32"/>
        </w:rPr>
        <w:t>构成犯罪的，依法追究刑事责任。</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第三十条</w:t>
      </w:r>
      <w:r>
        <w:rPr>
          <w:rFonts w:ascii="仿宋_GB2312" w:hAnsi="仿宋_GB2312" w:hint="eastAsia" w:eastAsia="仿宋_GB2312"/>
          <w:sz w:val="32"/>
          <w:szCs w:val="32"/>
        </w:rPr>
        <w:t>　各级人民防空主管部门的工作人员玩忽职守、滥用职权、徇私舞弊或者有其他违法行为的给予行政处分</w:t>
      </w:r>
      <w:r>
        <w:rPr>
          <w:rFonts w:eastAsia="仿宋_GB2312" w:hint="eastAsia" w:ascii="仿宋_GB2312" w:hAnsi="仿宋_GB2312"/>
          <w:sz w:val="32"/>
          <w:szCs w:val="32"/>
        </w:rPr>
        <w:t>;</w:t>
      </w:r>
      <w:r>
        <w:rPr>
          <w:rFonts w:ascii="仿宋_GB2312" w:hAnsi="仿宋_GB2312" w:hint="eastAsia" w:eastAsia="仿宋_GB2312"/>
          <w:sz w:val="32"/>
          <w:szCs w:val="32"/>
        </w:rPr>
        <w:t>构成犯罪的，依法追究刑事责任。</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第三十一条</w:t>
      </w:r>
      <w:r>
        <w:rPr>
          <w:rFonts w:ascii="仿宋_GB2312" w:hAnsi="仿宋_GB2312" w:hint="eastAsia" w:eastAsia="仿宋_GB2312"/>
          <w:sz w:val="32"/>
          <w:szCs w:val="32"/>
        </w:rPr>
        <w:t>　人民防空主管部门实施行政处罚时，应当按《中华人民共和国行政处罚法》的规定执行。</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第三十二条</w:t>
      </w:r>
      <w:r>
        <w:rPr>
          <w:rFonts w:ascii="仿宋_GB2312" w:hAnsi="仿宋_GB2312" w:hint="eastAsia" w:eastAsia="仿宋_GB2312"/>
          <w:sz w:val="32"/>
          <w:szCs w:val="32"/>
        </w:rPr>
        <w:t>　当事人对行政处罚决定不服的，可以依法申请复议或向人民法院起诉</w:t>
      </w:r>
      <w:r>
        <w:rPr>
          <w:rFonts w:eastAsia="仿宋_GB2312" w:hint="eastAsia" w:ascii="仿宋_GB2312" w:hAnsi="仿宋_GB2312"/>
          <w:sz w:val="32"/>
          <w:szCs w:val="32"/>
        </w:rPr>
        <w:t>;</w:t>
      </w:r>
      <w:r>
        <w:rPr>
          <w:rFonts w:ascii="仿宋_GB2312" w:hAnsi="仿宋_GB2312" w:hint="eastAsia" w:eastAsia="仿宋_GB2312"/>
          <w:sz w:val="32"/>
          <w:szCs w:val="32"/>
        </w:rPr>
        <w:t>当事人逾期不申请复议或者不向人民法院起诉又不履行处罚决定的，由作出处罚决定的机关申请人民法院强制执行。</w:t>
      </w:r>
    </w:p>
    <w:p>
      <w:pPr>
        <w:pStyle w:val="Normal"/>
        <w:ind w:firstLine="675" w:end="0"/>
        <w:rPr>
          <w:rFonts w:ascii="仿宋_GB2312" w:hAnsi="仿宋_GB2312" w:eastAsia="仿宋_GB2312" w:hint="eastAsia"/>
          <w:sz w:val="32"/>
          <w:szCs w:val="32"/>
        </w:rPr>
      </w:pPr>
      <w:r>
        <w:rPr>
          <w:rFonts w:ascii="黑体;SimHei" w:hAnsi="黑体;SimHei" w:cs="黑体;SimHei" w:hint="eastAsia" w:eastAsia="黑体;SimHei"/>
          <w:sz w:val="32"/>
          <w:szCs w:val="32"/>
        </w:rPr>
        <w:t>第三十三条</w:t>
      </w:r>
      <w:r>
        <w:rPr>
          <w:rFonts w:ascii="仿宋_GB2312" w:hAnsi="仿宋_GB2312" w:hint="eastAsia" w:eastAsia="仿宋_GB2312"/>
          <w:sz w:val="32"/>
          <w:szCs w:val="32"/>
        </w:rPr>
        <w:t>　本条例由黑龙江省人民防空主管部门负责应用解释。</w:t>
      </w:r>
    </w:p>
    <w:p>
      <w:pPr>
        <w:pStyle w:val="Normal"/>
        <w:ind w:firstLine="675" w:end="0"/>
        <w:rPr/>
      </w:pPr>
      <w:r>
        <w:rPr>
          <w:rFonts w:ascii="黑体;SimHei" w:hAnsi="黑体;SimHei" w:cs="黑体;SimHei" w:hint="eastAsia" w:eastAsia="黑体;SimHei"/>
          <w:sz w:val="32"/>
          <w:szCs w:val="32"/>
        </w:rPr>
        <w:t>第三十四条</w:t>
      </w:r>
      <w:r>
        <w:rPr>
          <w:rFonts w:ascii="仿宋_GB2312" w:hAnsi="仿宋_GB2312" w:hint="eastAsia" w:eastAsia="仿宋_GB2312"/>
          <w:sz w:val="32"/>
          <w:szCs w:val="32"/>
        </w:rPr>
        <w:t>　本条例自</w:t>
      </w:r>
      <w:r>
        <w:rPr>
          <w:rFonts w:eastAsia="仿宋_GB2312" w:hint="eastAsia" w:ascii="仿宋_GB2312" w:hAnsi="仿宋_GB2312"/>
          <w:sz w:val="32"/>
          <w:szCs w:val="32"/>
        </w:rPr>
        <w:t>1997</w:t>
      </w:r>
      <w:r>
        <w:rPr>
          <w:rFonts w:ascii="仿宋_GB2312" w:hAnsi="仿宋_GB2312" w:hint="eastAsia" w:eastAsia="仿宋_GB2312"/>
          <w:sz w:val="32"/>
          <w:szCs w:val="32"/>
        </w:rPr>
        <w:t>年</w:t>
      </w:r>
      <w:r>
        <w:rPr>
          <w:rFonts w:eastAsia="仿宋_GB2312" w:hint="eastAsia" w:ascii="仿宋_GB2312" w:hAnsi="仿宋_GB2312"/>
          <w:sz w:val="32"/>
          <w:szCs w:val="32"/>
        </w:rPr>
        <w:t>9</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sectPr>
      <w:headerReference w:type="default" r:id="rId2"/>
      <w:footerReference w:type="default" r:id="rId3"/>
      <w:type w:val="nextPage"/>
      <w:pgSz w:w="11906" w:h="16838"/>
      <w:pgMar w:left="1800" w:right="1800" w:gutter="0" w:header="851"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楷体_GB2312">
    <w:charset w:val="86"/>
    <w:family w:val="modern"/>
    <w:pitch w:val="default"/>
  </w:font>
  <w:font w:name="仿宋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9" behindDoc="0" locked="0" layoutInCell="0" allowOverlap="1">
              <wp:simplePos x="0" y="0"/>
              <wp:positionH relativeFrom="margin">
                <wp:align>center</wp:align>
              </wp:positionH>
              <wp:positionV relativeFrom="paragraph">
                <wp:posOffset>635</wp:posOffset>
              </wp:positionV>
              <wp:extent cx="5778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57785" cy="13144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8</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4.55pt;height:10.35pt;mso-wrap-distance-left:0pt;mso-wrap-distance-right:0pt;mso-wrap-distance-top:0pt;mso-wrap-distance-bottom:0pt;margin-top:0.05pt;mso-position-vertical-relative:text;margin-left:205.4pt;mso-position-horizontal:center;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8</w:t>
                    </w:r>
                    <w:r>
                      <w:rPr>
                        <w:rStyle w:val="PageNumber"/>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2017-01-03T22:08:00Z</dcterms:created>
  <dc:creator>bvcv</dc:creator>
  <dc:description/>
  <cp:keywords/>
  <dc:language>en-US</dc:language>
  <cp:lastModifiedBy>Administrator</cp:lastModifiedBy>
  <dcterms:modified xsi:type="dcterms:W3CDTF">2017-06-23T09:59:00Z</dcterms:modified>
  <cp:revision>7</cp:revision>
  <dc:subject/>
  <dc:title>黑龙江省实施《中华人民共和国</dc:title>
</cp:coreProperties>
</file>