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 w:hint="eastAsia"/>
          <w:bCs/>
          <w:kern w:val="0"/>
          <w:szCs w:val="32"/>
        </w:rPr>
      </w:pPr>
      <w:r>
        <w:rPr>
          <w:rFonts w:cs="宋体;SimSun" w:hint="eastAsia" w:ascii="宋体;SimSun" w:hAnsi="宋体;SimSun"/>
          <w:bCs/>
          <w:kern w:val="0"/>
          <w:szCs w:val="32"/>
        </w:rPr>
      </w:r>
    </w:p>
    <w:p>
      <w:pPr>
        <w:pStyle w:val="Normal"/>
        <w:jc w:val="center"/>
        <w:rPr>
          <w:rFonts w:ascii="宋体;SimSun" w:hAnsi="宋体;SimSun" w:cs="宋体;SimSun" w:hint="eastAsia"/>
          <w:bCs/>
          <w:kern w:val="0"/>
          <w:szCs w:val="32"/>
        </w:rPr>
      </w:pPr>
      <w:r>
        <w:rPr>
          <w:rFonts w:cs="宋体;SimSun" w:hint="eastAsia" w:ascii="宋体;SimSun" w:hAnsi="宋体;SimSun"/>
          <w:bCs/>
          <w:kern w:val="0"/>
          <w:szCs w:val="32"/>
        </w:rPr>
      </w:r>
    </w:p>
    <w:p>
      <w:pPr>
        <w:pStyle w:val="Normal"/>
        <w:jc w:val="center"/>
        <w:rPr>
          <w:rFonts w:ascii="宋体;SimSun" w:hAnsi="宋体;SimSun" w:cs="宋体;SimSun"/>
          <w:b/>
          <w:kern w:val="0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佳木斯市文明祭祀条例</w:t>
      </w:r>
    </w:p>
    <w:p>
      <w:pPr>
        <w:pStyle w:val="Normal"/>
        <w:jc w:val="center"/>
        <w:rPr>
          <w:rFonts w:ascii="宋体;SimSun" w:hAnsi="宋体;SimSun" w:cs="宋体;SimSun" w:hint="eastAsia"/>
          <w:b/>
          <w:bCs/>
          <w:kern w:val="0"/>
          <w:sz w:val="44"/>
          <w:szCs w:val="32"/>
        </w:rPr>
      </w:pPr>
      <w:r>
        <w:rPr>
          <w:rFonts w:cs="宋体;SimSun" w:hint="eastAsia" w:ascii="宋体;SimSun" w:hAnsi="宋体;SimSun"/>
          <w:b/>
          <w:bCs/>
          <w:kern w:val="0"/>
          <w:sz w:val="44"/>
          <w:szCs w:val="32"/>
        </w:rPr>
      </w:r>
    </w:p>
    <w:p>
      <w:pPr>
        <w:pStyle w:val="Normal"/>
        <w:ind w:firstLineChars="100" w:startChars="0" w:start="0" w:endChars="0" w:end="0"/>
        <w:jc w:val="center"/>
        <w:rPr>
          <w:rFonts w:ascii="楷体_GB2312" w:hAnsi="楷体_GB2312" w:eastAsia="楷体_GB2312" w:cs="楷体_GB2312" w:hint="eastAsia"/>
          <w:bCs/>
          <w:kern w:val="0"/>
          <w:szCs w:val="32"/>
        </w:rPr>
      </w:pPr>
      <w:r>
        <w:rPr>
          <w:rFonts w:eastAsia="楷体_GB2312" w:cs="楷体_GB2312" w:hint="eastAsia" w:ascii="楷体_GB2312" w:hAnsi="楷体_GB2312"/>
          <w:bCs/>
          <w:kern w:val="0"/>
          <w:szCs w:val="32"/>
        </w:rPr>
        <w:t>(2020</w:t>
      </w:r>
      <w:r>
        <w:rPr>
          <w:rFonts w:ascii="楷体_GB2312" w:hAnsi="楷体_GB2312" w:cs="楷体_GB2312" w:hint="eastAsia" w:eastAsia="楷体_GB2312"/>
          <w:bCs/>
          <w:kern w:val="0"/>
          <w:szCs w:val="32"/>
        </w:rPr>
        <w:t>年</w:t>
      </w:r>
      <w:r>
        <w:rPr>
          <w:rFonts w:eastAsia="楷体_GB2312" w:cs="楷体_GB2312" w:hint="eastAsia" w:ascii="楷体_GB2312" w:hAnsi="楷体_GB2312"/>
          <w:bCs/>
          <w:kern w:val="0"/>
          <w:szCs w:val="32"/>
        </w:rPr>
        <w:t>8</w:t>
      </w:r>
      <w:r>
        <w:rPr>
          <w:rFonts w:ascii="楷体_GB2312" w:hAnsi="楷体_GB2312" w:cs="楷体_GB2312" w:hint="eastAsia" w:eastAsia="楷体_GB2312"/>
          <w:bCs/>
          <w:kern w:val="0"/>
          <w:szCs w:val="32"/>
        </w:rPr>
        <w:t>月</w:t>
      </w:r>
      <w:r>
        <w:rPr>
          <w:rFonts w:eastAsia="楷体_GB2312" w:cs="楷体_GB2312" w:hint="eastAsia" w:ascii="楷体_GB2312" w:hAnsi="楷体_GB2312"/>
          <w:bCs/>
          <w:kern w:val="0"/>
          <w:szCs w:val="32"/>
        </w:rPr>
        <w:t>28</w:t>
      </w:r>
      <w:r>
        <w:rPr>
          <w:rFonts w:ascii="楷体_GB2312" w:hAnsi="楷体_GB2312" w:cs="楷体_GB2312" w:hint="eastAsia" w:eastAsia="楷体_GB2312"/>
          <w:bCs/>
          <w:kern w:val="0"/>
          <w:szCs w:val="32"/>
        </w:rPr>
        <w:t>日佳木斯市第十六届人民代表大会常务</w:t>
      </w:r>
    </w:p>
    <w:p>
      <w:pPr>
        <w:pStyle w:val="Normal"/>
        <w:ind w:firstLineChars="100" w:startChars="0" w:start="0" w:endChars="0" w:end="0"/>
        <w:jc w:val="center"/>
        <w:rPr>
          <w:rFonts w:ascii="楷体_GB2312" w:hAnsi="楷体_GB2312" w:eastAsia="楷体_GB2312" w:cs="楷体_GB2312" w:hint="eastAsia"/>
          <w:bCs/>
          <w:kern w:val="0"/>
          <w:szCs w:val="32"/>
        </w:rPr>
      </w:pPr>
      <w:r>
        <w:rPr>
          <w:rFonts w:ascii="楷体_GB2312" w:hAnsi="楷体_GB2312" w:cs="楷体_GB2312" w:hint="eastAsia" w:eastAsia="楷体_GB2312"/>
          <w:bCs/>
          <w:kern w:val="0"/>
          <w:szCs w:val="32"/>
        </w:rPr>
        <w:t xml:space="preserve">委员会第二十七次会议通过 </w:t>
      </w:r>
      <w:r>
        <w:rPr>
          <w:rFonts w:eastAsia="楷体_GB2312" w:cs="楷体_GB2312" w:hint="eastAsia" w:ascii="楷体_GB2312" w:hAnsi="楷体_GB2312"/>
          <w:bCs/>
          <w:kern w:val="0"/>
          <w:szCs w:val="32"/>
        </w:rPr>
        <w:t>2020</w:t>
      </w:r>
      <w:r>
        <w:rPr>
          <w:rFonts w:ascii="楷体_GB2312" w:hAnsi="楷体_GB2312" w:cs="楷体_GB2312" w:hint="eastAsia" w:eastAsia="楷体_GB2312"/>
          <w:bCs/>
          <w:kern w:val="0"/>
          <w:szCs w:val="32"/>
        </w:rPr>
        <w:t>年</w:t>
      </w:r>
      <w:r>
        <w:rPr>
          <w:rFonts w:eastAsia="楷体_GB2312" w:cs="楷体_GB2312" w:hint="eastAsia" w:ascii="楷体_GB2312" w:hAnsi="楷体_GB2312"/>
          <w:bCs/>
          <w:kern w:val="0"/>
          <w:szCs w:val="32"/>
        </w:rPr>
        <w:t>10</w:t>
      </w:r>
      <w:r>
        <w:rPr>
          <w:rFonts w:ascii="楷体_GB2312" w:hAnsi="楷体_GB2312" w:cs="楷体_GB2312" w:hint="eastAsia" w:eastAsia="楷体_GB2312"/>
          <w:bCs/>
          <w:kern w:val="0"/>
          <w:szCs w:val="32"/>
        </w:rPr>
        <w:t>月</w:t>
      </w:r>
      <w:r>
        <w:rPr>
          <w:rFonts w:eastAsia="楷体_GB2312" w:cs="楷体_GB2312" w:hint="eastAsia" w:ascii="楷体_GB2312" w:hAnsi="楷体_GB2312"/>
          <w:bCs/>
          <w:kern w:val="0"/>
          <w:szCs w:val="32"/>
        </w:rPr>
        <w:t>22</w:t>
      </w:r>
      <w:r>
        <w:rPr>
          <w:rFonts w:ascii="楷体_GB2312" w:hAnsi="楷体_GB2312" w:cs="楷体_GB2312" w:hint="eastAsia" w:eastAsia="楷体_GB2312"/>
          <w:bCs/>
          <w:kern w:val="0"/>
          <w:szCs w:val="32"/>
        </w:rPr>
        <w:t>日黑龙江省</w:t>
      </w:r>
    </w:p>
    <w:p>
      <w:pPr>
        <w:pStyle w:val="Normal"/>
        <w:ind w:firstLineChars="100" w:startChars="0" w:start="0" w:endChars="0" w:end="0"/>
        <w:jc w:val="center"/>
        <w:rPr>
          <w:rFonts w:ascii="楷体_GB2312" w:hAnsi="楷体_GB2312" w:eastAsia="楷体_GB2312" w:cs="楷体_GB2312" w:hint="eastAsia"/>
          <w:bCs/>
          <w:kern w:val="0"/>
          <w:szCs w:val="32"/>
        </w:rPr>
      </w:pPr>
      <w:r>
        <w:rPr>
          <w:rFonts w:ascii="楷体_GB2312" w:hAnsi="楷体_GB2312" w:cs="楷体_GB2312" w:hint="eastAsia" w:eastAsia="楷体_GB2312"/>
          <w:bCs/>
          <w:kern w:val="0"/>
          <w:szCs w:val="32"/>
        </w:rPr>
        <w:t>第十三届人民代表大会常务委员会第二十一次会议批准）</w:t>
      </w:r>
    </w:p>
    <w:p>
      <w:pPr>
        <w:pStyle w:val="Normal"/>
        <w:rPr>
          <w:rFonts w:ascii="宋体;SimSun" w:hAnsi="宋体;SimSun" w:eastAsia="楷体_GB2312" w:cs="宋体;SimSun" w:hint="eastAsia"/>
          <w:b/>
          <w:bCs/>
          <w:kern w:val="0"/>
          <w:szCs w:val="32"/>
        </w:rPr>
      </w:pPr>
      <w:r>
        <w:rPr>
          <w:rFonts w:eastAsia="楷体_GB2312" w:cs="宋体;SimSun" w:hint="eastAsia" w:ascii="宋体;SimSun" w:hAnsi="宋体;SimSun"/>
          <w:b/>
          <w:bCs/>
          <w:kern w:val="0"/>
          <w:szCs w:val="32"/>
        </w:rPr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" w:hAnsi="仿宋" w:eastAsia="仿宋" w:cs="仿宋"/>
          <w:szCs w:val="32"/>
        </w:rPr>
      </w:pPr>
      <w:r>
        <w:rPr>
          <w:rFonts w:ascii="黑体;SimHei" w:hAnsi="黑体;SimHei" w:cs="黑体;SimHei" w:hint="eastAsia" w:eastAsia="黑体;SimHei"/>
          <w:szCs w:val="32"/>
        </w:rPr>
        <w:t>第一条</w:t>
      </w:r>
      <w:r>
        <w:rPr>
          <w:rFonts w:ascii="仿宋_GB2312" w:hAnsi="仿宋_GB2312" w:cs="仿宋_GB2312" w:hint="eastAsia" w:eastAsia="仿宋_GB2312"/>
          <w:szCs w:val="32"/>
        </w:rPr>
        <w:t xml:space="preserve"> 为了树立文明祭祀新风，鼓励和倡导文明、绿色祭祀，促进社会主义精神文明和生态文明建设，根据《中华人民共和国大气污染防治法》《殡葬管理条例》等法律法规，结合本市实际，制定本条例。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" w:hAnsi="仿宋" w:eastAsia="仿宋" w:cs="仿宋"/>
          <w:szCs w:val="32"/>
        </w:rPr>
      </w:pPr>
      <w:r>
        <w:rPr>
          <w:rFonts w:ascii="黑体;SimHei" w:hAnsi="黑体;SimHei" w:cs="黑体;SimHei" w:hint="eastAsia" w:eastAsia="黑体;SimHei"/>
          <w:szCs w:val="32"/>
        </w:rPr>
        <w:t>第二条</w:t>
      </w:r>
      <w:r>
        <w:rPr>
          <w:rFonts w:ascii="仿宋_GB2312" w:hAnsi="仿宋_GB2312" w:cs="仿宋_GB2312" w:hint="eastAsia" w:eastAsia="仿宋_GB2312"/>
          <w:szCs w:val="32"/>
        </w:rPr>
        <w:t xml:space="preserve"> 本市行政区域内生产、销售、使用祭祀用品等活动适用本条例。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第三条</w:t>
      </w:r>
      <w:r>
        <w:rPr>
          <w:rFonts w:ascii="仿宋_GB2312" w:hAnsi="仿宋_GB2312" w:cs="仿宋_GB2312" w:hint="eastAsia" w:eastAsia="仿宋_GB2312"/>
          <w:szCs w:val="32"/>
        </w:rPr>
        <w:t xml:space="preserve"> 坚持教育引导、疏堵结合、源头治理的原则。倡导采用符合社会主义核心价值观要求，无污染、生态环保的鲜花、植树、网络、祭文、集体祭祀、代祭代扫等方式进行祭祀。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第四条</w:t>
      </w:r>
      <w:r>
        <w:rPr>
          <w:rFonts w:ascii="仿宋_GB2312" w:hAnsi="仿宋_GB2312" w:cs="仿宋_GB2312" w:hint="eastAsia" w:eastAsia="仿宋_GB2312"/>
          <w:szCs w:val="32"/>
        </w:rPr>
        <w:t xml:space="preserve"> 市、县（市、区）、乡（镇）人民政府应当做好祭祀管理工作；应当建立议事协调机制，统筹协调文明祭祀管理中的重大事项。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" w:hAnsi="仿宋_GB2312" w:eastAsia="仿宋_GB2312" w:cs="仿宋_GB2312" w:hint="eastAsia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街道办事处及居（村）民委员会应当协助做好文明祭祀管理工作。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" w:hAnsi="仿宋" w:eastAsia="仿宋" w:cs="仿宋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鼓励物业服务企业协助做好文明祭祀管理工作。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第五条</w:t>
      </w:r>
      <w:r>
        <w:rPr>
          <w:rFonts w:ascii="仿宋_GB2312" w:hAnsi="仿宋_GB2312" w:cs="仿宋_GB2312" w:hint="eastAsia" w:eastAsia="仿宋_GB2312"/>
          <w:szCs w:val="32"/>
        </w:rPr>
        <w:t xml:space="preserve"> 市、县（市、区）、乡（镇）人民政府民政部门是祭祀管理的主管部门，负责辖区文明祭祀的管理工作，监督指导殡葬服务机构为文明祭祀活动提供服务。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" w:hAnsi="仿宋_GB2312" w:eastAsia="仿宋_GB2312" w:cs="仿宋_GB2312" w:hint="eastAsia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市场监督管理、城市管理综合执法、公安、应急管理（消防救援）、林业和草原等部门应当按照各自职责做好文明祭祀的相关工作。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第六条</w:t>
      </w:r>
      <w:r>
        <w:rPr>
          <w:rFonts w:ascii="仿宋_GB2312" w:hAnsi="仿宋_GB2312" w:cs="仿宋_GB2312" w:hint="eastAsia" w:eastAsia="仿宋_GB2312"/>
          <w:szCs w:val="32"/>
        </w:rPr>
        <w:t xml:space="preserve"> 市、县（市、区）、乡（镇）人民政府应当加强文明祭祀宣传教育。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" w:hAnsi="仿宋_GB2312" w:eastAsia="仿宋_GB2312" w:cs="仿宋_GB2312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新闻媒体应当开展文明祭祀宣传，对不文明祭祀行为进行舆论监督。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黑体;SimHei" w:hAnsi="黑体;SimHei" w:eastAsia="黑体;SimHei" w:cs="黑体;SimHei" w:hint="eastAsia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鼓励基层群众性自治组织、社会组织开展文明祭祀宣传活动。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第七条</w:t>
      </w:r>
      <w:r>
        <w:rPr>
          <w:rFonts w:ascii="仿宋_GB2312" w:hAnsi="仿宋_GB2312" w:cs="仿宋_GB2312" w:hint="eastAsia" w:eastAsia="仿宋_GB2312"/>
          <w:szCs w:val="32"/>
        </w:rPr>
        <w:t xml:space="preserve"> 公职人员应当带头抵制不文明祭祀行为，采取文明节俭、低碳环保的方式进行祭祀。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第八条</w:t>
      </w:r>
      <w:r>
        <w:rPr>
          <w:rFonts w:ascii="仿宋_GB2312" w:hAnsi="仿宋_GB2312" w:cs="仿宋_GB2312" w:hint="eastAsia" w:eastAsia="仿宋_GB2312"/>
          <w:szCs w:val="32"/>
        </w:rPr>
        <w:t xml:space="preserve"> 殡葬服务机构可以为居民提供祈福墙、追思纪念房间等文明祭祀场所。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" w:hAnsi="仿宋" w:eastAsia="仿宋" w:cs="仿宋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鼓励居（村）民委员会在清明节、中元节、春节等传统节日期间组织开展集体祭祀活动，为文明祭祀提供便利。</w:t>
      </w:r>
    </w:p>
    <w:p>
      <w:pPr>
        <w:pStyle w:val="Normal"/>
        <w:widowControl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第九条</w:t>
      </w:r>
      <w:r>
        <w:rPr>
          <w:rFonts w:ascii="仿宋_GB2312" w:hAnsi="仿宋_GB2312" w:cs="仿宋_GB2312" w:hint="eastAsia" w:eastAsia="仿宋_GB231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kern w:val="0"/>
          <w:szCs w:val="32"/>
        </w:rPr>
        <w:t>本市行政区域内禁止生产、销售封建迷信祭祀用品。</w:t>
      </w:r>
    </w:p>
    <w:p>
      <w:pPr>
        <w:pStyle w:val="Normal"/>
        <w:widowControl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kern w:val="0"/>
          <w:szCs w:val="32"/>
        </w:rPr>
        <w:t>第十条</w:t>
      </w:r>
      <w:r>
        <w:rPr>
          <w:rFonts w:ascii="仿宋_GB2312" w:hAnsi="仿宋_GB2312" w:cs="仿宋_GB2312" w:hint="eastAsia" w:eastAsia="仿宋_GB2312"/>
          <w:kern w:val="0"/>
          <w:szCs w:val="32"/>
        </w:rPr>
        <w:t xml:space="preserve"> 在禁止区域内不得焚烧、抛撒各类祭祀用品。</w:t>
      </w:r>
    </w:p>
    <w:p>
      <w:pPr>
        <w:pStyle w:val="Normal"/>
        <w:widowControl/>
        <w:spacing w:lineRule="exact" w:line="570"/>
        <w:ind w:firstLineChars="200" w:startChars="0" w:start="0" w:endChars="0" w:end="0"/>
        <w:rPr>
          <w:rFonts w:ascii="黑体;SimHei" w:hAnsi="黑体;SimHei" w:eastAsia="黑体;SimHei" w:cs="黑体;SimHei" w:hint="eastAsia"/>
          <w:szCs w:val="32"/>
        </w:rPr>
      </w:pPr>
      <w:r>
        <w:rPr>
          <w:rFonts w:ascii="仿宋_GB2312" w:hAnsi="仿宋_GB2312" w:cs="仿宋_GB2312" w:hint="eastAsia" w:eastAsia="仿宋_GB2312"/>
          <w:kern w:val="0"/>
          <w:szCs w:val="32"/>
        </w:rPr>
        <w:t>禁止焚烧、抛撒的区域由市人民政府根据实际情况依法合理划定，并向社会公布；根据社会发展情况作出调整。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黑体;SimHei" w:hAnsi="黑体;SimHei" w:eastAsia="黑体;SimHei" w:cs="黑体;SimHei" w:hint="eastAsia"/>
          <w:szCs w:val="32"/>
        </w:rPr>
      </w:pPr>
      <w:r>
        <w:rPr>
          <w:rFonts w:ascii="黑体;SimHei" w:hAnsi="黑体;SimHei" w:cs="黑体;SimHei" w:hint="eastAsia" w:eastAsia="黑体;SimHei"/>
          <w:szCs w:val="32"/>
        </w:rPr>
        <w:t>第十一条</w:t>
      </w:r>
      <w:r>
        <w:rPr>
          <w:rFonts w:ascii="仿宋_GB2312" w:hAnsi="仿宋_GB2312" w:cs="仿宋_GB2312" w:hint="eastAsia" w:eastAsia="仿宋_GB2312"/>
          <w:szCs w:val="32"/>
        </w:rPr>
        <w:t xml:space="preserve"> 任何组织和个人有权对违反本条例生产、销售封建迷信祭祀用品和焚烧、抛撒祭祀用品等向民政及有关部门进行投诉和举报。民政及有关部门在接到投诉和举报后，应当及时进行处理，并将处理结果告知投诉人或者举报人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第十二条</w:t>
      </w:r>
      <w:r>
        <w:rPr>
          <w:rFonts w:ascii="仿宋_GB2312" w:hAnsi="仿宋_GB2312" w:cs="仿宋_GB2312" w:hint="eastAsia" w:eastAsia="仿宋_GB2312"/>
          <w:szCs w:val="32"/>
        </w:rPr>
        <w:t xml:space="preserve"> 生产、销售封建迷信祭祀用品的，由市场监督管理部门会同民政部门予以没收，可以并处生产、销售金额</w:t>
      </w:r>
      <w:r>
        <w:rPr>
          <w:rFonts w:eastAsia="仿宋_GB2312" w:cs="仿宋_GB2312" w:hint="eastAsia" w:ascii="仿宋_GB2312" w:hAnsi="仿宋_GB2312"/>
          <w:szCs w:val="32"/>
        </w:rPr>
        <w:t>1</w:t>
      </w:r>
      <w:r>
        <w:rPr>
          <w:rFonts w:ascii="仿宋_GB2312" w:hAnsi="仿宋_GB2312" w:cs="仿宋_GB2312" w:hint="eastAsia" w:eastAsia="仿宋_GB2312"/>
          <w:szCs w:val="32"/>
        </w:rPr>
        <w:t>倍以上</w:t>
      </w:r>
      <w:r>
        <w:rPr>
          <w:rFonts w:eastAsia="仿宋_GB2312" w:cs="仿宋_GB2312" w:hint="eastAsia" w:ascii="仿宋_GB2312" w:hAnsi="仿宋_GB2312"/>
          <w:szCs w:val="32"/>
        </w:rPr>
        <w:t>3</w:t>
      </w:r>
      <w:r>
        <w:rPr>
          <w:rFonts w:ascii="仿宋_GB2312" w:hAnsi="仿宋_GB2312" w:cs="仿宋_GB2312" w:hint="eastAsia" w:eastAsia="仿宋_GB2312"/>
          <w:szCs w:val="32"/>
        </w:rPr>
        <w:t>倍以下罚款。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" w:hAnsi="仿宋" w:eastAsia="仿宋" w:cs="仿宋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在街道、路口、广场、公园、居民小区等非经营性公共场所和早（夜）市、露天市场等经营性场所销售封建迷信祭祀用品的，由城市管理综合执法部门依据《黑龙江省城市市容和环境卫生管理条例》规定进行处罚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" w:hAnsi="仿宋" w:eastAsia="仿宋" w:cs="仿宋"/>
          <w:szCs w:val="32"/>
        </w:rPr>
      </w:pPr>
      <w:r>
        <w:rPr>
          <w:rFonts w:ascii="黑体;SimHei" w:hAnsi="黑体;SimHei" w:cs="黑体;SimHei" w:hint="eastAsia" w:eastAsia="黑体;SimHei"/>
          <w:szCs w:val="32"/>
        </w:rPr>
        <w:t>第十三条</w:t>
      </w:r>
      <w:r>
        <w:rPr>
          <w:rFonts w:ascii="仿宋_GB2312" w:hAnsi="仿宋_GB2312" w:cs="仿宋_GB2312" w:hint="eastAsia" w:eastAsia="仿宋_GB2312"/>
          <w:szCs w:val="32"/>
        </w:rPr>
        <w:t xml:space="preserve"> 在禁止焚烧区域内焚烧、抛撒祭祀用品的，由城市管理综合执法部门责令停止违法行为，没收祭祀用品，并处以</w:t>
      </w:r>
      <w:r>
        <w:rPr>
          <w:rFonts w:eastAsia="仿宋_GB2312" w:cs="仿宋_GB2312" w:hint="eastAsia" w:ascii="仿宋_GB2312" w:hAnsi="仿宋_GB2312"/>
          <w:szCs w:val="32"/>
        </w:rPr>
        <w:t>50</w:t>
      </w:r>
      <w:r>
        <w:rPr>
          <w:rFonts w:ascii="仿宋_GB2312" w:hAnsi="仿宋_GB2312" w:cs="仿宋_GB2312" w:hint="eastAsia" w:eastAsia="仿宋_GB2312"/>
          <w:szCs w:val="32"/>
        </w:rPr>
        <w:t>元以上</w:t>
      </w:r>
      <w:r>
        <w:rPr>
          <w:rFonts w:eastAsia="仿宋_GB2312" w:cs="仿宋_GB2312" w:hint="eastAsia" w:ascii="仿宋_GB2312" w:hAnsi="仿宋_GB2312"/>
          <w:szCs w:val="32"/>
        </w:rPr>
        <w:t>200</w:t>
      </w:r>
      <w:r>
        <w:rPr>
          <w:rFonts w:ascii="仿宋_GB2312" w:hAnsi="仿宋_GB2312" w:cs="仿宋_GB2312" w:hint="eastAsia" w:eastAsia="仿宋_GB2312"/>
          <w:szCs w:val="32"/>
        </w:rPr>
        <w:t>元以下罚款。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第十四条</w:t>
      </w:r>
      <w:r>
        <w:rPr>
          <w:rFonts w:ascii="仿宋_GB2312" w:hAnsi="仿宋_GB2312" w:cs="仿宋_GB2312" w:hint="eastAsia" w:eastAsia="仿宋_GB2312"/>
          <w:szCs w:val="32"/>
        </w:rPr>
        <w:t xml:space="preserve"> 在具有火灾、爆炸危险的场所焚烧祭祀用品的，由应急管理（消防救援）机构责令停止违法行为，处以警告或者</w:t>
      </w:r>
      <w:r>
        <w:rPr>
          <w:rFonts w:eastAsia="仿宋_GB2312" w:cs="仿宋_GB2312" w:hint="eastAsia" w:ascii="仿宋_GB2312" w:hAnsi="仿宋_GB2312"/>
          <w:szCs w:val="32"/>
        </w:rPr>
        <w:t>500</w:t>
      </w:r>
      <w:r>
        <w:rPr>
          <w:rFonts w:ascii="仿宋_GB2312" w:hAnsi="仿宋_GB2312" w:cs="仿宋_GB2312" w:hint="eastAsia" w:eastAsia="仿宋_GB2312"/>
          <w:szCs w:val="32"/>
        </w:rPr>
        <w:t>元以下罚款，情节严重的，移交公安机关依法处理。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" w:hAnsi="仿宋_GB2312" w:eastAsia="仿宋_GB2312" w:cs="仿宋_GB2312" w:hint="eastAsia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森林防火期，在森林防火区焚烧祭祀用品的，由林业和草原部门责令停止违法行为，给予警告，并处</w:t>
      </w:r>
      <w:r>
        <w:rPr>
          <w:rFonts w:eastAsia="仿宋_GB2312" w:cs="仿宋_GB2312" w:hint="eastAsia" w:ascii="仿宋_GB2312" w:hAnsi="仿宋_GB2312"/>
          <w:szCs w:val="32"/>
        </w:rPr>
        <w:t>200</w:t>
      </w:r>
      <w:r>
        <w:rPr>
          <w:rFonts w:ascii="仿宋_GB2312" w:hAnsi="仿宋_GB2312" w:cs="仿宋_GB2312" w:hint="eastAsia" w:eastAsia="仿宋_GB2312"/>
          <w:szCs w:val="32"/>
        </w:rPr>
        <w:t>元以上</w:t>
      </w:r>
      <w:r>
        <w:rPr>
          <w:rFonts w:eastAsia="仿宋_GB2312" w:cs="仿宋_GB2312" w:hint="eastAsia" w:ascii="仿宋_GB2312" w:hAnsi="仿宋_GB2312"/>
          <w:szCs w:val="32"/>
        </w:rPr>
        <w:t>3000</w:t>
      </w:r>
      <w:r>
        <w:rPr>
          <w:rFonts w:ascii="仿宋_GB2312" w:hAnsi="仿宋_GB2312" w:cs="仿宋_GB2312" w:hint="eastAsia" w:eastAsia="仿宋_GB2312"/>
          <w:szCs w:val="32"/>
        </w:rPr>
        <w:t>元以下罚款，情节严重的，移交公安机关依法处理。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黑体;SimHei" w:hAnsi="黑体;SimHei" w:eastAsia="黑体;SimHei" w:cs="黑体;SimHei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在草原上焚烧祭祀用品的，由林业和草原部门责令停止违法行为，对有关责任人员处</w:t>
      </w:r>
      <w:r>
        <w:rPr>
          <w:rFonts w:eastAsia="仿宋_GB2312" w:cs="仿宋_GB2312" w:hint="eastAsia" w:ascii="仿宋_GB2312" w:hAnsi="仿宋_GB2312"/>
          <w:szCs w:val="32"/>
        </w:rPr>
        <w:t>2000</w:t>
      </w:r>
      <w:r>
        <w:rPr>
          <w:rFonts w:ascii="仿宋_GB2312" w:hAnsi="仿宋_GB2312" w:cs="仿宋_GB2312" w:hint="eastAsia" w:eastAsia="仿宋_GB2312"/>
          <w:szCs w:val="32"/>
        </w:rPr>
        <w:t>元以上</w:t>
      </w:r>
      <w:r>
        <w:rPr>
          <w:rFonts w:eastAsia="仿宋_GB2312" w:cs="仿宋_GB2312" w:hint="eastAsia" w:ascii="仿宋_GB2312" w:hAnsi="仿宋_GB2312"/>
          <w:szCs w:val="32"/>
        </w:rPr>
        <w:t>5000</w:t>
      </w:r>
      <w:r>
        <w:rPr>
          <w:rFonts w:ascii="仿宋_GB2312" w:hAnsi="仿宋_GB2312" w:cs="仿宋_GB2312" w:hint="eastAsia" w:eastAsia="仿宋_GB2312"/>
          <w:szCs w:val="32"/>
        </w:rPr>
        <w:t>元以下罚款，情节严重的，移交公安机关依法处理。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第十五条</w:t>
      </w:r>
      <w:r>
        <w:rPr>
          <w:rFonts w:ascii="仿宋_GB2312" w:hAnsi="仿宋_GB2312" w:cs="仿宋_GB2312" w:hint="eastAsia" w:eastAsia="仿宋_GB2312"/>
          <w:szCs w:val="32"/>
        </w:rPr>
        <w:t xml:space="preserve"> 监督管理职能部门工作人员在文明祭祀管理工作中存在不作为、滥用职权、徇私舞弊等行为，尚不构成犯罪的，由其所在单位或者相关部门依法给予相应处分。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黑体;SimHei" w:hAnsi="黑体;SimHei" w:eastAsia="黑体;SimHei" w:cs="黑体;SimHei" w:hint="eastAsia"/>
          <w:szCs w:val="32"/>
        </w:rPr>
      </w:pPr>
      <w:r>
        <w:rPr>
          <w:rFonts w:ascii="黑体;SimHei" w:hAnsi="黑体;SimHei" w:cs="黑体;SimHei" w:hint="eastAsia" w:eastAsia="黑体;SimHei"/>
          <w:szCs w:val="32"/>
        </w:rPr>
        <w:t>第十六条</w:t>
      </w:r>
      <w:r>
        <w:rPr>
          <w:rFonts w:ascii="仿宋_GB2312" w:hAnsi="仿宋_GB2312" w:cs="仿宋_GB2312" w:hint="eastAsia" w:eastAsia="仿宋_GB2312"/>
          <w:szCs w:val="32"/>
        </w:rPr>
        <w:t xml:space="preserve"> 公职人员使用封建迷信祭祀用品造成不良社会影响的，由其所在单位或者相关部门依法给予相应处分。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第十七条</w:t>
      </w:r>
      <w:r>
        <w:rPr>
          <w:rFonts w:ascii="仿宋_GB2312" w:hAnsi="仿宋_GB2312" w:cs="仿宋_GB2312" w:hint="eastAsia" w:eastAsia="仿宋_GB2312"/>
          <w:szCs w:val="32"/>
        </w:rPr>
        <w:t xml:space="preserve"> 少数民族及宗教人士的祭祀活动，依据国家有关规定执行。</w:t>
      </w:r>
    </w:p>
    <w:p>
      <w:pPr>
        <w:pStyle w:val="Normal"/>
        <w:spacing w:lineRule="exact" w:line="57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  <w:szCs w:val="32"/>
        </w:rPr>
        <w:t>第十八条</w:t>
      </w:r>
      <w:r>
        <w:rPr>
          <w:rFonts w:ascii="仿宋_GB2312" w:hAnsi="仿宋_GB2312" w:cs="仿宋_GB2312" w:hint="eastAsia" w:eastAsia="仿宋_GB2312"/>
          <w:szCs w:val="32"/>
        </w:rPr>
        <w:t xml:space="preserve"> 本条例所称祭祀是指对逝者进行的追悼、悼念、追思等活动。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" w:hAnsi="仿宋" w:eastAsia="仿宋" w:cs="仿宋"/>
          <w:szCs w:val="32"/>
        </w:rPr>
      </w:pPr>
      <w:r>
        <w:rPr>
          <w:rFonts w:ascii="仿宋_GB2312" w:hAnsi="仿宋_GB2312" w:cs="仿宋_GB2312" w:hint="eastAsia" w:eastAsia="仿宋_GB2312"/>
          <w:szCs w:val="32"/>
        </w:rPr>
        <w:t>封建迷信祭祀用品是指冥纸、冥钞、纸钱，用锡箔和纸扎成的金银锭、纸人、纸牛、纸马，各类住房、交通工具、生活用品、证件等仿制物品。</w:t>
      </w:r>
      <w:r>
        <w:rPr>
          <w:rFonts w:ascii="仿宋" w:hAnsi="仿宋" w:cs="仿宋" w:hint="eastAsia" w:eastAsia="仿宋"/>
          <w:szCs w:val="32"/>
        </w:rPr>
        <w:t xml:space="preserve"> 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" w:hAnsi="仿宋" w:eastAsia="仿宋" w:cs="仿宋"/>
          <w:szCs w:val="32"/>
        </w:rPr>
      </w:pPr>
      <w:r>
        <w:rPr>
          <w:rFonts w:ascii="黑体;SimHei" w:hAnsi="黑体;SimHei" w:cs="黑体;SimHei" w:hint="eastAsia" w:eastAsia="黑体;SimHei"/>
          <w:szCs w:val="32"/>
        </w:rPr>
        <w:t xml:space="preserve">第十九条 </w:t>
      </w:r>
      <w:r>
        <w:rPr>
          <w:rFonts w:ascii="仿宋_GB2312" w:hAnsi="仿宋_GB2312" w:cs="仿宋_GB2312" w:hint="eastAsia" w:eastAsia="仿宋_GB2312"/>
          <w:szCs w:val="32"/>
        </w:rPr>
        <w:t>本条例自</w:t>
      </w:r>
      <w:r>
        <w:rPr>
          <w:rFonts w:eastAsia="仿宋_GB2312" w:cs="仿宋_GB2312" w:hint="eastAsia" w:ascii="仿宋_GB2312" w:hAnsi="仿宋_GB2312"/>
          <w:szCs w:val="32"/>
        </w:rPr>
        <w:t>2021</w:t>
      </w:r>
      <w:r>
        <w:rPr>
          <w:rFonts w:ascii="仿宋_GB2312" w:hAnsi="仿宋_GB2312" w:cs="仿宋_GB2312" w:hint="eastAsia" w:eastAsia="仿宋_GB2312"/>
          <w:szCs w:val="32"/>
        </w:rPr>
        <w:t>年</w:t>
      </w:r>
      <w:r>
        <w:rPr>
          <w:rFonts w:eastAsia="仿宋_GB2312" w:cs="仿宋_GB2312" w:hint="eastAsia" w:ascii="仿宋_GB2312" w:hAnsi="仿宋_GB2312"/>
          <w:szCs w:val="32"/>
        </w:rPr>
        <w:t>1</w:t>
      </w:r>
      <w:r>
        <w:rPr>
          <w:rFonts w:ascii="仿宋_GB2312" w:hAnsi="仿宋_GB2312" w:cs="仿宋_GB2312" w:hint="eastAsia" w:eastAsia="仿宋_GB2312"/>
          <w:szCs w:val="32"/>
        </w:rPr>
        <w:t>月</w:t>
      </w:r>
      <w:r>
        <w:rPr>
          <w:rFonts w:eastAsia="仿宋_GB2312" w:cs="仿宋_GB2312" w:hint="eastAsia" w:ascii="仿宋_GB2312" w:hAnsi="仿宋_GB2312"/>
          <w:szCs w:val="32"/>
        </w:rPr>
        <w:t>1</w:t>
      </w:r>
      <w:r>
        <w:rPr>
          <w:rFonts w:ascii="仿宋_GB2312" w:hAnsi="仿宋_GB2312" w:cs="仿宋_GB2312" w:hint="eastAsia" w:eastAsia="仿宋_GB2312"/>
          <w:szCs w:val="32"/>
        </w:rPr>
        <w:t>日起施行。</w:t>
      </w:r>
    </w:p>
    <w:p>
      <w:pPr>
        <w:pStyle w:val="Normal"/>
        <w:spacing w:lineRule="exact" w:line="580"/>
        <w:rPr>
          <w:rFonts w:ascii="仿宋" w:hAnsi="仿宋" w:eastAsia="仿宋" w:cs="仿宋" w:hint="eastAsia"/>
          <w:szCs w:val="32"/>
        </w:rPr>
      </w:pPr>
      <w:r>
        <w:rPr>
          <w:rFonts w:eastAsia="仿宋" w:cs="仿宋" w:hint="eastAsia" w:ascii="仿宋" w:hAnsi="仿宋"/>
          <w:szCs w:val="32"/>
        </w:rPr>
      </w:r>
    </w:p>
    <w:p>
      <w:pPr>
        <w:pStyle w:val="Normal"/>
        <w:spacing w:lineRule="exact" w:line="580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Normal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Normal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Normal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Normal"/>
        <w:spacing w:lineRule="exact" w:line="570"/>
        <w:rPr>
          <w:rFonts w:ascii="宋体;SimSun" w:hAnsi="宋体;SimSun" w:cs="宋体;SimSun" w:hint="eastAsia"/>
          <w:b/>
          <w:kern w:val="0"/>
          <w:szCs w:val="32"/>
        </w:rPr>
      </w:pPr>
      <w:r>
        <w:rPr>
          <w:rFonts w:cs="宋体;SimSun" w:hint="eastAsia" w:ascii="宋体;SimSun" w:hAnsi="宋体;SimSun"/>
          <w:b/>
          <w:kern w:val="0"/>
          <w:szCs w:val="32"/>
        </w:rPr>
      </w:r>
    </w:p>
    <w:sectPr>
      <w:footerReference w:type="even" r:id="rId2"/>
      <w:footerReference w:type="default" r:id="rId3"/>
      <w:type w:val="nextPage"/>
      <w:pgSz w:w="11850" w:h="16783"/>
      <w:pgMar w:left="1588" w:right="1474" w:gutter="0" w:header="0" w:top="2098" w:footer="1417" w:bottom="1984"/>
      <w:pgNumType w:fmt="decimal"/>
      <w:formProt w:val="false"/>
      <w:textDirection w:val="lrTb"/>
      <w:docGrid w:type="linesAndChars" w:linePitch="577" w:charSpace="429496586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仿宋_GB2312">
    <w:charset w:val="86"/>
    <w:family w:val="modern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page">
                <wp:posOffset>1123315</wp:posOffset>
              </wp:positionH>
              <wp:positionV relativeFrom="paragraph">
                <wp:posOffset>6985</wp:posOffset>
              </wp:positionV>
              <wp:extent cx="685165" cy="30289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3028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startChars="0" w:start="0" w:endChars="0" w:end="0"/>
                            <w:rPr>
                              <w:rStyle w:val="PageNumber"/>
                              <w:rFonts w:hint="eastAsia"/>
                              <w:sz w:val="28"/>
                            </w:rPr>
                          </w:pPr>
                          <w:r>
                            <w:rPr>
                              <w:rStyle w:val="PageNumber"/>
                              <w:rFonts w:cs="宋体;SimSun" w:hint="eastAsia" w:ascii="宋体;SimSun" w:hAnsi="宋体;SimSun"/>
                              <w:sz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4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宋体;SimSun" w:hint="eastAsia" w:ascii="宋体;SimSun" w:hAnsi="宋体;SimSun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3.95pt;height:23.85pt;mso-wrap-distance-left:0pt;mso-wrap-distance-right:0pt;mso-wrap-distance-top:0pt;mso-wrap-distance-bottom:0pt;margin-top:0.55pt;mso-position-vertical-relative:text;margin-left:88.4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ind w:firstLineChars="100" w:startChars="0" w:start="0" w:endChars="0" w:end="0"/>
                      <w:rPr>
                        <w:rStyle w:val="PageNumber"/>
                        <w:rFonts w:hint="eastAsia"/>
                        <w:sz w:val="28"/>
                      </w:rPr>
                    </w:pPr>
                    <w:r>
                      <w:rPr>
                        <w:rStyle w:val="PageNumber"/>
                        <w:rFonts w:cs="宋体;SimSun" w:hint="eastAsia" w:ascii="宋体;SimSun" w:hAnsi="宋体;SimSun"/>
                        <w:sz w:val="28"/>
                      </w:rPr>
                      <w:t xml:space="preserve">- </w:t>
                    </w:r>
                    <w:r>
                      <w:rPr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rPr>
                        <w:sz w:val="28"/>
                      </w:rPr>
                      <w:fldChar w:fldCharType="separate"/>
                    </w:r>
                    <w:r>
                      <w:rPr>
                        <w:sz w:val="28"/>
                      </w:rPr>
                      <w:t>4</w:t>
                    </w:r>
                    <w:r>
                      <w:rPr>
                        <w:sz w:val="28"/>
                      </w:rPr>
                      <w:fldChar w:fldCharType="end"/>
                    </w:r>
                    <w:r>
                      <w:rPr>
                        <w:rStyle w:val="PageNumber"/>
                        <w:rFonts w:hint="eastAsia"/>
                        <w:sz w:val="28"/>
                      </w:rPr>
                      <w:t xml:space="preserve"> </w:t>
                    </w:r>
                    <w:r>
                      <w:rPr>
                        <w:rStyle w:val="PageNumber"/>
                        <w:rFonts w:cs="宋体;SimSun" w:hint="eastAsia" w:ascii="宋体;SimSun" w:hAnsi="宋体;SimSun"/>
                        <w:sz w:val="28"/>
                      </w:rPr>
                      <w:t>-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rFonts w:hint="eastAsia"/>
      </w:rPr>
    </w:pPr>
    <w:r>
      <w:rPr>
        <w:rFonts w:hint="eastAsia"/>
      </w:rPr>
      <w:t xml:space="preserve">                                                                                                     </w:t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page">
                <wp:posOffset>5809615</wp:posOffset>
              </wp:positionH>
              <wp:positionV relativeFrom="paragraph">
                <wp:posOffset>6985</wp:posOffset>
              </wp:positionV>
              <wp:extent cx="314960" cy="3022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8"/>
                            </w:rPr>
                          </w:pPr>
                          <w:r>
                            <w:rPr>
                              <w:rStyle w:val="PageNumber"/>
                              <w:rFonts w:cs="宋体;SimSun" w:hint="eastAsia" w:ascii="宋体;SimSun" w:hAnsi="宋体;SimSun"/>
                              <w:sz w:val="28"/>
                            </w:rPr>
                            <w:t>-</w:t>
                          </w:r>
                          <w:r>
                            <w:rPr>
                              <w:rStyle w:val="PageNumber"/>
                              <w:rFonts w:hint="eastAsia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</w:rPr>
                            <w:t>3</w:t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宋体;SimSun" w:hint="eastAsia" w:ascii="宋体;SimSun" w:hAnsi="宋体;SimSun"/>
                              <w:sz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4.8pt;height:23.8pt;mso-wrap-distance-left:0pt;mso-wrap-distance-right:0pt;mso-wrap-distance-top:0pt;mso-wrap-distance-bottom:0pt;margin-top:0.55pt;mso-position-vertical-relative:text;margin-left:457.4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8"/>
                      </w:rPr>
                    </w:pPr>
                    <w:r>
                      <w:rPr>
                        <w:rStyle w:val="PageNumber"/>
                        <w:rFonts w:cs="宋体;SimSun" w:hint="eastAsia" w:ascii="宋体;SimSun" w:hAnsi="宋体;SimSun"/>
                        <w:sz w:val="28"/>
                      </w:rPr>
                      <w:t>-</w:t>
                    </w:r>
                    <w:r>
                      <w:rPr>
                        <w:rStyle w:val="PageNumber"/>
                        <w:rFonts w:hint="eastAsia"/>
                        <w:sz w:val="28"/>
                      </w:rPr>
                      <w:t xml:space="preserve"> </w:t>
                    </w:r>
                    <w:r>
                      <w:rPr>
                        <w:rFonts w:cs="宋体;SimSun" w:hint="eastAsia" w:ascii="宋体;SimSun" w:hAnsi="宋体;SimSun"/>
                        <w:sz w:val="28"/>
                      </w:rPr>
                      <w:fldChar w:fldCharType="begin"/>
                    </w:r>
                    <w:r>
                      <w:rPr>
                        <w:rFonts w:cs="宋体;SimSun" w:hint="eastAsia" w:ascii="宋体;SimSun" w:hAnsi="宋体;SimSun"/>
                        <w:sz w:val="28"/>
                      </w:rPr>
                      <w:instrText xml:space="preserve"> PAGE </w:instrText>
                    </w:r>
                    <w:r>
                      <w:rPr>
                        <w:rFonts w:cs="宋体;SimSun" w:hint="eastAsia" w:ascii="宋体;SimSun" w:hAnsi="宋体;SimSun"/>
                        <w:sz w:val="28"/>
                      </w:rPr>
                      <w:fldChar w:fldCharType="separate"/>
                    </w:r>
                    <w:r>
                      <w:rPr>
                        <w:rFonts w:cs="宋体;SimSun" w:hint="eastAsia" w:ascii="宋体;SimSun" w:hAnsi="宋体;SimSun"/>
                        <w:sz w:val="28"/>
                      </w:rPr>
                      <w:t>3</w:t>
                    </w:r>
                    <w:r>
                      <w:rPr>
                        <w:rFonts w:cs="宋体;SimSun" w:hint="eastAsia" w:ascii="宋体;SimSun" w:hAnsi="宋体;SimSun"/>
                        <w:sz w:val="28"/>
                      </w:rPr>
                      <w:fldChar w:fldCharType="end"/>
                    </w:r>
                    <w:r>
                      <w:rPr>
                        <w:rStyle w:val="PageNumber"/>
                        <w:rFonts w:cs="宋体;SimSun" w:hint="eastAsia" w:ascii="宋体;SimSun" w:hAnsi="宋体;SimSun"/>
                        <w:sz w:val="28"/>
                      </w:rPr>
                      <w:t xml:space="preserve"> -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mirrorMargins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next w:val="Normal"/>
    <w:qFormat/>
    <w:pPr>
      <w:jc w:val="start"/>
    </w:pPr>
    <w:rPr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2020-11-03T11:16:00Z</dcterms:created>
  <dc:creator>Administrator</dc:creator>
  <dc:description/>
  <dc:language>en-US</dc:language>
  <cp:lastModifiedBy>Administrator</cp:lastModifiedBy>
  <cp:lastPrinted>2020-10-27T10:05:00Z</cp:lastPrinted>
  <dcterms:modified xsi:type="dcterms:W3CDTF">2020-11-03T11:16:00Z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