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jc w:val="center"/>
        <w:rPr>
          <w:rFonts w:ascii="楷体" w:hAnsi="楷体" w:eastAsia="楷体" w:cs="楷体"/>
          <w:bCs/>
          <w:sz w:val="32"/>
          <w:szCs w:val="32"/>
        </w:rPr>
      </w:pPr>
      <w:r>
        <w:rPr>
          <w:rFonts w:ascii="宋体;SimSun" w:hAnsi="宋体;SimSun" w:cs="宋体;SimSun" w:hint="eastAsia"/>
          <w:bCs/>
          <w:sz w:val="44"/>
          <w:szCs w:val="44"/>
        </w:rPr>
        <w:t>牡丹江市餐厨废弃物管理条例</w:t>
      </w:r>
    </w:p>
    <w:p>
      <w:pPr>
        <w:pStyle w:val="Normal"/>
        <w:ind w:firstLineChars="200" w:startChars="0" w:start="0" w:endChars="0" w:end="0"/>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ormal"/>
        <w:ind w:firstLineChars="0" w:firstLine="0" w:startChars="300" w:endChars="300"/>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12</w:t>
      </w:r>
      <w:r>
        <w:rPr>
          <w:rFonts w:ascii="楷体" w:hAnsi="楷体" w:cs="楷体" w:hint="eastAsia" w:eastAsia="楷体"/>
          <w:sz w:val="32"/>
          <w:szCs w:val="32"/>
        </w:rPr>
        <w:t xml:space="preserve">日牡丹江市第十六届人民代表大会常务委员会第十一次会议通过  </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10</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日黑龙江省第十三届人民代表大会常务委员会第七次会议批准）</w:t>
      </w:r>
    </w:p>
    <w:p>
      <w:pPr>
        <w:pStyle w:val="Normal"/>
        <w:ind w:hangingChars="221" w:startChars="0" w:start="0" w:endChars="0" w:end="0"/>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第一条  </w:t>
      </w:r>
      <w:r>
        <w:rPr>
          <w:rFonts w:ascii="仿宋" w:hAnsi="仿宋" w:cs="仿宋" w:hint="eastAsia" w:eastAsia="仿宋"/>
          <w:sz w:val="32"/>
          <w:szCs w:val="32"/>
        </w:rPr>
        <w:t>为了加强餐厨废弃物管理，促进餐厨废弃物资源化利用和无害化处理，维护城市环境卫生，保障食品安全和公众身体健康，根据《中华人民共和国固体废物污染环境防治法》《城市市容和环境卫生管理条例》《黑龙江省食品安全条例》等有关法律、法规，结合本市实际，制定本条例。</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第二条  </w:t>
      </w:r>
      <w:r>
        <w:rPr>
          <w:rFonts w:ascii="仿宋" w:hAnsi="仿宋" w:cs="仿宋" w:hint="eastAsia" w:eastAsia="仿宋"/>
          <w:sz w:val="32"/>
          <w:szCs w:val="32"/>
        </w:rPr>
        <w:t>本条例所称餐厨废弃物，是指居民日常生活以外的单位和食品生产经营者在食品生产加工、食品销售和餐饮服务等活动中产生的食物残余、食品加工废料和废弃食用油脂、废弃油水混合物等废弃物。</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第三条  </w:t>
      </w:r>
      <w:r>
        <w:rPr>
          <w:rFonts w:ascii="仿宋" w:hAnsi="仿宋" w:cs="仿宋" w:hint="eastAsia" w:eastAsia="仿宋"/>
          <w:sz w:val="32"/>
          <w:szCs w:val="32"/>
        </w:rPr>
        <w:t>本市市区餐厨废弃物的投放、收运、处置以及相关监督管理活动，适用本条例。</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第四条  </w:t>
      </w:r>
      <w:r>
        <w:rPr>
          <w:rFonts w:ascii="仿宋" w:hAnsi="仿宋" w:cs="仿宋" w:hint="eastAsia" w:eastAsia="仿宋"/>
          <w:sz w:val="32"/>
          <w:szCs w:val="32"/>
        </w:rPr>
        <w:t>餐厨废弃物管理实行单独投放、统一收运、集中处置。</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第五条  </w:t>
      </w:r>
      <w:r>
        <w:rPr>
          <w:rFonts w:ascii="仿宋" w:hAnsi="仿宋" w:cs="仿宋" w:hint="eastAsia" w:eastAsia="仿宋"/>
          <w:sz w:val="32"/>
          <w:szCs w:val="32"/>
        </w:rPr>
        <w:t>实施餐厨废弃物单独投放、统一收运、集中处置的具体区域由市人民政府确定，并向社会公布。</w:t>
      </w:r>
    </w:p>
    <w:p>
      <w:pPr>
        <w:pStyle w:val="Normal"/>
        <w:rPr>
          <w:rFonts w:ascii="仿宋" w:hAnsi="仿宋" w:eastAsia="仿宋" w:cs="仿宋"/>
          <w:sz w:val="32"/>
          <w:szCs w:val="32"/>
        </w:rPr>
      </w:pPr>
      <w:r>
        <w:rPr>
          <w:rFonts w:eastAsia="黑体;SimHei" w:cs="黑体;SimHei" w:hint="eastAsia" w:ascii="黑体;SimHei" w:hAnsi="黑体;SimHei"/>
          <w:kern w:val="0"/>
          <w:sz w:val="32"/>
          <w:szCs w:val="32"/>
          <w:lang w:bidi="ar"/>
        </w:rPr>
        <w:t xml:space="preserve">    </w:t>
      </w:r>
      <w:r>
        <w:rPr>
          <w:rFonts w:ascii="黑体;SimHei" w:hAnsi="黑体;SimHei" w:cs="黑体;SimHei" w:hint="eastAsia" w:eastAsia="黑体;SimHei"/>
          <w:kern w:val="0"/>
          <w:sz w:val="32"/>
          <w:szCs w:val="32"/>
          <w:lang w:bidi="ar"/>
        </w:rPr>
        <w:t xml:space="preserve">第六条  </w:t>
      </w:r>
      <w:r>
        <w:rPr>
          <w:rFonts w:ascii="仿宋" w:hAnsi="仿宋" w:cs="仿宋" w:hint="eastAsia" w:eastAsia="仿宋"/>
          <w:sz w:val="32"/>
          <w:szCs w:val="32"/>
        </w:rPr>
        <w:t>市人民政府应当加强对餐厨废弃物管理的领导，统筹规划建设餐厨废弃物收运和处置体系，保障餐厨废弃物管理工作经费，对餐厨废弃物收运、处置给予补贴。</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第七条  </w:t>
      </w:r>
      <w:r>
        <w:rPr>
          <w:rFonts w:ascii="仿宋" w:hAnsi="仿宋" w:cs="仿宋" w:hint="eastAsia" w:eastAsia="仿宋"/>
          <w:sz w:val="32"/>
          <w:szCs w:val="32"/>
        </w:rPr>
        <w:t>市容环境卫生行政主管部门负责餐厨废弃物投放、收运、处置的监督管理工作。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发展和改革、财政、商务、市场监管、生态环境、农业农村、卫生健康、公安等部门在各自职责范围内开展餐厨废弃物管理相关工作。</w:t>
      </w:r>
    </w:p>
    <w:p>
      <w:pPr>
        <w:pStyle w:val="Style15"/>
        <w:shd w:fill="FFFFFF" w:val="clear"/>
        <w:ind w:firstLineChars="200" w:startChars="0" w:start="0" w:endChars="0" w:end="0"/>
        <w:jc w:val="both"/>
        <w:rPr>
          <w:rFonts w:ascii="仿宋" w:hAnsi="仿宋" w:eastAsia="仿宋" w:cs="仿宋"/>
          <w:kern w:val="2"/>
          <w:sz w:val="32"/>
          <w:szCs w:val="32"/>
        </w:rPr>
      </w:pPr>
      <w:r>
        <w:rPr>
          <w:rFonts w:ascii="黑体;SimHei" w:hAnsi="黑体;SimHei" w:cs="黑体;SimHei" w:hint="eastAsia" w:eastAsia="黑体;SimHei"/>
          <w:sz w:val="32"/>
          <w:szCs w:val="32"/>
          <w:lang w:bidi="ar"/>
        </w:rPr>
        <w:t xml:space="preserve">第八条  </w:t>
      </w:r>
      <w:r>
        <w:rPr>
          <w:rFonts w:ascii="仿宋" w:hAnsi="仿宋" w:cs="仿宋" w:hint="eastAsia" w:eastAsia="仿宋"/>
          <w:kern w:val="2"/>
          <w:sz w:val="32"/>
          <w:szCs w:val="32"/>
        </w:rPr>
        <w:t>餐饮服务等相关行业协会应当将依法投放、交付餐厨废弃物的要求纳入行业自律规范和行业管理内容。</w:t>
      </w:r>
    </w:p>
    <w:p>
      <w:pPr>
        <w:pStyle w:val="Style15"/>
        <w:shd w:fill="FFFFFF" w:val="clear"/>
        <w:ind w:firstLineChars="200" w:startChars="0" w:start="0" w:endChars="0" w:end="0"/>
        <w:rPr>
          <w:rFonts w:ascii="仿宋" w:hAnsi="仿宋" w:eastAsia="仿宋" w:cs="仿宋"/>
          <w:kern w:val="2"/>
          <w:sz w:val="32"/>
          <w:szCs w:val="32"/>
        </w:rPr>
      </w:pPr>
      <w:r>
        <w:rPr>
          <w:rFonts w:eastAsia="仿宋" w:cs="仿宋" w:ascii="仿宋" w:hAnsi="仿宋"/>
          <w:kern w:val="2"/>
          <w:sz w:val="32"/>
          <w:szCs w:val="32"/>
        </w:rPr>
      </w:r>
    </w:p>
    <w:p>
      <w:pPr>
        <w:pStyle w:val="Normal"/>
        <w:jc w:val="center"/>
        <w:rPr>
          <w:rFonts w:ascii="黑体;SimHei" w:hAnsi="黑体;SimHei" w:eastAsia="黑体;SimHei" w:cs="黑体;SimHei"/>
          <w:kern w:val="0"/>
          <w:sz w:val="32"/>
          <w:szCs w:val="32"/>
          <w:lang w:bidi="ar"/>
        </w:rPr>
      </w:pPr>
      <w:r>
        <w:rPr>
          <w:rFonts w:ascii="黑体;SimHei" w:hAnsi="黑体;SimHei" w:cs="黑体;SimHei" w:hint="eastAsia" w:eastAsia="黑体;SimHei"/>
          <w:sz w:val="32"/>
          <w:szCs w:val="32"/>
        </w:rPr>
        <w:t>第二章  餐厨废弃物的投放、收运和处置</w:t>
      </w:r>
    </w:p>
    <w:p>
      <w:pPr>
        <w:pStyle w:val="Normal"/>
        <w:ind w:firstLineChars="200" w:startChars="0" w:start="0" w:endChars="0" w:end="0"/>
        <w:rPr>
          <w:rFonts w:ascii="仿宋" w:hAnsi="仿宋" w:eastAsia="仿宋" w:cs="仿宋"/>
          <w:kern w:val="0"/>
          <w:sz w:val="32"/>
          <w:szCs w:val="32"/>
          <w:lang w:bidi="ar"/>
        </w:rPr>
      </w:pPr>
      <w:r>
        <w:rPr>
          <w:rFonts w:eastAsia="仿宋" w:cs="仿宋" w:ascii="仿宋" w:hAnsi="仿宋"/>
          <w:kern w:val="0"/>
          <w:sz w:val="32"/>
          <w:szCs w:val="32"/>
          <w:lang w:bidi="ar"/>
        </w:rPr>
      </w:r>
    </w:p>
    <w:p>
      <w:pPr>
        <w:pStyle w:val="Normal"/>
        <w:rPr>
          <w:rFonts w:ascii="仿宋" w:hAnsi="仿宋" w:eastAsia="仿宋" w:cs="仿宋"/>
          <w:sz w:val="32"/>
          <w:szCs w:val="32"/>
        </w:rPr>
      </w:pPr>
      <w:r>
        <w:rPr>
          <w:rFonts w:eastAsia="黑体;SimHei" w:cs="黑体;SimHei" w:hint="eastAsia" w:ascii="黑体;SimHei" w:hAnsi="黑体;SimHei"/>
          <w:kern w:val="0"/>
          <w:sz w:val="32"/>
          <w:szCs w:val="32"/>
          <w:lang w:bidi="ar"/>
        </w:rPr>
        <w:t xml:space="preserve">    </w:t>
      </w:r>
      <w:r>
        <w:rPr>
          <w:rFonts w:ascii="黑体;SimHei" w:hAnsi="黑体;SimHei" w:cs="黑体;SimHei" w:hint="eastAsia" w:eastAsia="黑体;SimHei"/>
          <w:kern w:val="0"/>
          <w:sz w:val="32"/>
          <w:szCs w:val="32"/>
          <w:lang w:bidi="ar"/>
        </w:rPr>
        <w:t xml:space="preserve">第九条  </w:t>
      </w:r>
      <w:r>
        <w:rPr>
          <w:rFonts w:ascii="仿宋" w:hAnsi="仿宋" w:cs="仿宋" w:hint="eastAsia" w:eastAsia="仿宋"/>
          <w:sz w:val="32"/>
          <w:szCs w:val="32"/>
        </w:rPr>
        <w:t>餐厨废弃物的收运、处置实行特许经营。未取得餐厨废弃物收运、处置特许经营权（以下简称特许经营权）的单位和个人，不得从事餐厨废弃物经营性收运、处置活动。</w:t>
      </w:r>
    </w:p>
    <w:p>
      <w:pPr>
        <w:pStyle w:val="Normal"/>
        <w:rPr>
          <w:rFonts w:ascii="仿宋" w:hAnsi="仿宋" w:eastAsia="仿宋" w:cs="仿宋"/>
          <w:sz w:val="32"/>
          <w:szCs w:val="32"/>
        </w:rPr>
      </w:pPr>
      <w:r>
        <w:rPr>
          <w:rFonts w:eastAsia="黑体;SimHei" w:cs="黑体;SimHei" w:hint="eastAsia" w:ascii="黑体;SimHei" w:hAnsi="黑体;SimHei"/>
          <w:kern w:val="0"/>
          <w:sz w:val="32"/>
          <w:szCs w:val="32"/>
          <w:lang w:bidi="ar"/>
        </w:rPr>
        <w:t xml:space="preserve">    </w:t>
      </w:r>
      <w:r>
        <w:rPr>
          <w:rFonts w:ascii="黑体;SimHei" w:hAnsi="黑体;SimHei" w:cs="黑体;SimHei" w:hint="eastAsia" w:eastAsia="黑体;SimHei"/>
          <w:kern w:val="0"/>
          <w:sz w:val="32"/>
          <w:szCs w:val="32"/>
          <w:lang w:bidi="ar"/>
        </w:rPr>
        <w:t xml:space="preserve">第十条  </w:t>
      </w:r>
      <w:r>
        <w:rPr>
          <w:rFonts w:ascii="仿宋" w:hAnsi="仿宋" w:cs="仿宋" w:hint="eastAsia" w:eastAsia="仿宋"/>
          <w:sz w:val="32"/>
          <w:szCs w:val="32"/>
        </w:rPr>
        <w:t>市容环境卫生行政主管部门应当按照法律、法规和国家强制性标准规定，通过招投标方式确定餐厨废弃物收运、处置特许经营企业，与其签订特许经营协议，明确约定经营范围、服务标准等内容，并向社会公布。</w:t>
      </w:r>
    </w:p>
    <w:p>
      <w:pPr>
        <w:pStyle w:val="Normal"/>
        <w:ind w:firstLine="641"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第十一条  </w:t>
      </w:r>
      <w:r>
        <w:rPr>
          <w:rFonts w:ascii="仿宋" w:hAnsi="仿宋" w:cs="仿宋" w:hint="eastAsia" w:eastAsia="仿宋"/>
          <w:sz w:val="32"/>
          <w:szCs w:val="32"/>
        </w:rPr>
        <w:t>产生餐厨废弃物的单位和食品生产经营者应当遵守下列规定：</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（一）将餐厨废弃物单独投放于取得特许经营权的餐厨废弃物收运企业（以下简称餐厨废弃物收运企业）提供的专用收集容器内，保持专用收集容器完好、密闭，不得将餐厨废弃物裸露存放。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（二）不得将非餐厨废弃物与餐厨废弃物混合投放于专用收集容器内。</w:t>
      </w:r>
    </w:p>
    <w:p>
      <w:pPr>
        <w:pStyle w:val="Normal"/>
        <w:ind w:firstLine="640" w:end="0"/>
        <w:rPr>
          <w:rFonts w:ascii="仿宋" w:hAnsi="仿宋" w:eastAsia="仿宋" w:cs="仿宋"/>
          <w:sz w:val="32"/>
          <w:szCs w:val="32"/>
        </w:rPr>
      </w:pPr>
      <w:r>
        <w:rPr>
          <w:rFonts w:ascii="仿宋" w:hAnsi="仿宋" w:cs="仿宋" w:hint="eastAsia" w:eastAsia="仿宋"/>
          <w:sz w:val="32"/>
          <w:szCs w:val="32"/>
        </w:rPr>
        <w:t>（三）不得将餐厨废弃物擅自处置或者交给未取得特许经营权的单位和个人收运、处置。</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（四）法律、法规规定的其他要求。</w:t>
      </w:r>
    </w:p>
    <w:p>
      <w:pPr>
        <w:pStyle w:val="Normal"/>
        <w:ind w:firstLine="640" w:end="0"/>
        <w:rPr>
          <w:rFonts w:ascii="仿宋" w:hAnsi="仿宋" w:eastAsia="仿宋" w:cs="仿宋"/>
          <w:sz w:val="32"/>
          <w:szCs w:val="32"/>
        </w:rPr>
      </w:pPr>
      <w:r>
        <w:rPr>
          <w:rFonts w:eastAsia="仿宋" w:cs="仿宋" w:hint="eastAsia" w:ascii="仿宋" w:hAnsi="仿宋"/>
          <w:sz w:val="32"/>
          <w:szCs w:val="32"/>
        </w:rPr>
        <w:t xml:space="preserve"> </w:t>
      </w:r>
      <w:r>
        <w:rPr>
          <w:rFonts w:ascii="黑体;SimHei" w:hAnsi="黑体;SimHei" w:cs="黑体;SimHei" w:hint="eastAsia" w:eastAsia="黑体;SimHei"/>
          <w:kern w:val="0"/>
          <w:sz w:val="32"/>
          <w:szCs w:val="32"/>
          <w:lang w:bidi="ar"/>
        </w:rPr>
        <w:t xml:space="preserve">第十二条  </w:t>
      </w:r>
      <w:r>
        <w:rPr>
          <w:rFonts w:ascii="仿宋" w:hAnsi="仿宋" w:cs="仿宋" w:hint="eastAsia" w:eastAsia="仿宋"/>
          <w:sz w:val="32"/>
          <w:szCs w:val="32"/>
        </w:rPr>
        <w:t>餐厨废弃物收运企业应当遵守下列规定</w:t>
      </w:r>
      <w:r>
        <w:rPr>
          <w:rFonts w:eastAsia="仿宋" w:cs="仿宋" w:hint="eastAsia" w:ascii="仿宋" w:hAnsi="仿宋"/>
          <w:sz w:val="32"/>
          <w:szCs w:val="32"/>
        </w:rPr>
        <w:t>:</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（一）与产生餐厨废弃物的单位和食品生产经营者签订餐厨废弃物收运协议，约定收运时间等事项，并于协议签订后三十日内报市容环境卫生行政主管部门备案。</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（二）为签订餐厨废弃物收运协议的单位和食品生产经营者提供全密闭的专用收集容器，及时收运餐厨废弃物，收运间隔时限不得超过二十四小时。</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（三）为专用运输车辆安装行驶及装卸记录装置，并确保准确运行；安装计量器具，对接收的餐厨废弃物准确称重计量。</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使用专用运输车辆密闭化运输餐厨废弃物，在运输过程中不得遗撒、丢弃餐厨废弃物，保持运输车辆的整洁和运输过程的卫生；将餐厨废弃物交给取得特许经营权的餐厨废弃物处置企业（以下简称餐厨废弃物处置企业）处置。</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（五）法律、法规规定的其他要求。</w:t>
      </w:r>
    </w:p>
    <w:p>
      <w:pPr>
        <w:pStyle w:val="Normal"/>
        <w:ind w:firstLine="640" w:end="0"/>
        <w:rPr>
          <w:rFonts w:ascii="仿宋" w:hAnsi="仿宋" w:eastAsia="仿宋" w:cs="仿宋"/>
          <w:sz w:val="32"/>
          <w:szCs w:val="32"/>
        </w:rPr>
      </w:pPr>
      <w:r>
        <w:rPr>
          <w:rFonts w:ascii="黑体;SimHei" w:hAnsi="黑体;SimHei" w:cs="黑体;SimHei" w:hint="eastAsia" w:eastAsia="黑体;SimHei"/>
          <w:kern w:val="0"/>
          <w:sz w:val="32"/>
          <w:szCs w:val="32"/>
          <w:lang w:bidi="ar"/>
        </w:rPr>
        <w:t xml:space="preserve">第十三条  </w:t>
      </w:r>
      <w:r>
        <w:rPr>
          <w:rFonts w:ascii="仿宋" w:hAnsi="仿宋" w:cs="仿宋" w:hint="eastAsia" w:eastAsia="仿宋"/>
          <w:sz w:val="32"/>
          <w:szCs w:val="32"/>
        </w:rPr>
        <w:t>餐厨废弃物处置企业应当遵守下列规定</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（一）按照国家有关规定和标准配备餐厨废弃物处置设施、设备，并定期维护，保证其正常运行。</w:t>
      </w:r>
    </w:p>
    <w:p>
      <w:pPr>
        <w:pStyle w:val="Normal"/>
        <w:ind w:firstLineChars="200" w:startChars="0" w:start="0" w:endChars="0" w:end="0"/>
        <w:rPr>
          <w:rFonts w:ascii="仿宋" w:hAnsi="仿宋" w:eastAsia="仿宋" w:cs="仿宋"/>
          <w:kern w:val="0"/>
          <w:sz w:val="32"/>
          <w:szCs w:val="32"/>
        </w:rPr>
      </w:pPr>
      <w:r>
        <w:rPr>
          <w:rFonts w:ascii="仿宋" w:hAnsi="仿宋" w:cs="仿宋" w:hint="eastAsia" w:eastAsia="仿宋"/>
          <w:sz w:val="32"/>
          <w:szCs w:val="32"/>
        </w:rPr>
        <w:t>（二）按照国家有关规定和标准处置餐厨废弃物，按照规定处理处置过程中产生的污水、废气、废渣、粉尘等，防止污染环境</w:t>
      </w:r>
      <w:r>
        <w:rPr>
          <w:rFonts w:ascii="仿宋" w:hAnsi="仿宋" w:cs="仿宋" w:hint="eastAsia" w:eastAsia="仿宋"/>
          <w:kern w:val="0"/>
          <w:sz w:val="32"/>
          <w:szCs w:val="32"/>
        </w:rPr>
        <w:t>。</w:t>
      </w:r>
    </w:p>
    <w:p>
      <w:pPr>
        <w:pStyle w:val="Normal"/>
        <w:ind w:firstLineChars="193" w:startChars="8" w:endChars="0" w:end="0"/>
        <w:rPr>
          <w:rFonts w:ascii="仿宋" w:hAnsi="仿宋" w:eastAsia="仿宋" w:cs="仿宋"/>
          <w:sz w:val="32"/>
          <w:szCs w:val="32"/>
        </w:rPr>
      </w:pPr>
      <w:r>
        <w:rPr>
          <w:rFonts w:ascii="仿宋" w:hAnsi="仿宋" w:cs="仿宋" w:hint="eastAsia" w:eastAsia="仿宋"/>
          <w:sz w:val="32"/>
          <w:szCs w:val="32"/>
        </w:rPr>
        <w:t>（三）不得将餐厨废弃物交给其他单位和个人处置。</w:t>
      </w:r>
    </w:p>
    <w:p>
      <w:pPr>
        <w:pStyle w:val="Normal"/>
        <w:ind w:firstLineChars="193" w:startChars="8" w:endChars="0" w:end="0"/>
        <w:rPr>
          <w:rFonts w:ascii="仿宋" w:hAnsi="仿宋" w:eastAsia="仿宋" w:cs="仿宋"/>
          <w:sz w:val="32"/>
          <w:szCs w:val="32"/>
        </w:rPr>
      </w:pPr>
      <w:r>
        <w:rPr>
          <w:rFonts w:ascii="仿宋" w:hAnsi="仿宋" w:cs="仿宋" w:hint="eastAsia" w:eastAsia="仿宋"/>
          <w:sz w:val="32"/>
          <w:szCs w:val="32"/>
        </w:rPr>
        <w:t>（四）对接收的餐厨废弃物准确称重计量。</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（五）法律、法规规定的其他要求。</w:t>
      </w:r>
    </w:p>
    <w:p>
      <w:pPr>
        <w:pStyle w:val="Normal"/>
        <w:widowControl/>
        <w:shd w:fill="FFFFFF" w:val="clear"/>
        <w:ind w:firstLineChars="900" w:startChars="0" w:start="0" w:endChars="0" w:end="0"/>
        <w:jc w:val="start"/>
        <w:rPr>
          <w:rFonts w:ascii="黑体;SimHei" w:hAnsi="黑体;SimHei" w:eastAsia="黑体;SimHei" w:cs="黑体;SimHei"/>
          <w:sz w:val="32"/>
          <w:szCs w:val="32"/>
        </w:rPr>
      </w:pPr>
      <w:r>
        <w:rPr>
          <w:rFonts w:eastAsia="黑体;SimHei" w:cs="黑体;SimHei" w:ascii="黑体;SimHei" w:hAnsi="黑体;SimHei"/>
          <w:sz w:val="32"/>
          <w:szCs w:val="32"/>
        </w:rPr>
      </w:r>
    </w:p>
    <w:p>
      <w:pPr>
        <w:pStyle w:val="Normal"/>
        <w:widowControl/>
        <w:numPr>
          <w:ilvl w:val="0"/>
          <w:numId w:val="1"/>
        </w:numPr>
        <w:shd w:fill="FFFFFF" w:val="clear"/>
        <w:ind w:hanging="0" w:start="0" w:end="45"/>
        <w:jc w:val="center"/>
        <w:rPr>
          <w:rFonts w:ascii="黑体;SimHei" w:hAnsi="黑体;SimHei" w:eastAsia="黑体;SimHei" w:cs="黑体;SimHei"/>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监督管理</w:t>
      </w:r>
    </w:p>
    <w:p>
      <w:pPr>
        <w:pStyle w:val="Normal"/>
        <w:widowControl/>
        <w:shd w:fill="FFFFFF" w:val="clear"/>
        <w:rPr>
          <w:rFonts w:ascii="黑体;SimHei" w:hAnsi="黑体;SimHei" w:eastAsia="黑体;SimHei" w:cs="黑体;SimHei"/>
          <w:sz w:val="32"/>
          <w:szCs w:val="32"/>
          <w:lang w:bidi="ar"/>
        </w:rPr>
      </w:pPr>
      <w:r>
        <w:rPr>
          <w:rFonts w:eastAsia="黑体;SimHei" w:cs="黑体;SimHei" w:hint="eastAsia" w:ascii="黑体;SimHei" w:hAnsi="黑体;SimHei"/>
          <w:sz w:val="32"/>
          <w:szCs w:val="32"/>
          <w:lang w:bidi="ar"/>
        </w:rPr>
        <w:t xml:space="preserve">    </w:t>
      </w:r>
    </w:p>
    <w:p>
      <w:pPr>
        <w:pStyle w:val="Normal"/>
        <w:widowControl/>
        <w:shd w:fill="FFFFFF" w:val="clear"/>
        <w:rPr>
          <w:rFonts w:ascii="仿宋" w:hAnsi="仿宋" w:eastAsia="仿宋" w:cs="仿宋"/>
          <w:sz w:val="32"/>
          <w:szCs w:val="32"/>
        </w:rPr>
      </w:pPr>
      <w:r>
        <w:rPr>
          <w:rFonts w:eastAsia="黑体;SimHei" w:cs="黑体;SimHei" w:hint="eastAsia" w:ascii="黑体;SimHei" w:hAnsi="黑体;SimHei"/>
          <w:sz w:val="32"/>
          <w:szCs w:val="32"/>
          <w:lang w:bidi="ar"/>
        </w:rPr>
        <w:t xml:space="preserve">    </w:t>
      </w:r>
      <w:r>
        <w:rPr>
          <w:rFonts w:ascii="黑体;SimHei" w:hAnsi="黑体;SimHei" w:cs="黑体;SimHei" w:hint="eastAsia" w:eastAsia="黑体;SimHei"/>
          <w:sz w:val="32"/>
          <w:szCs w:val="32"/>
          <w:lang w:bidi="ar"/>
        </w:rPr>
        <w:t xml:space="preserve">第十四条  </w:t>
      </w:r>
      <w:r>
        <w:rPr>
          <w:rFonts w:ascii="仿宋" w:hAnsi="仿宋" w:cs="仿宋" w:hint="eastAsia" w:eastAsia="仿宋"/>
          <w:sz w:val="32"/>
          <w:szCs w:val="32"/>
        </w:rPr>
        <w:t>市人民政府应当组织有关部门建立餐厨废弃物管理工作信息共享和执法联动机制。</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lang w:bidi="ar"/>
        </w:rPr>
        <w:t xml:space="preserve">第十五条  </w:t>
      </w:r>
      <w:r>
        <w:rPr>
          <w:rFonts w:ascii="仿宋" w:hAnsi="仿宋" w:cs="仿宋" w:hint="eastAsia" w:eastAsia="仿宋"/>
          <w:sz w:val="32"/>
          <w:szCs w:val="32"/>
        </w:rPr>
        <w:t>市人民政府应当组织有关部门制定餐厨废弃物管理应急预案。突发事件发生后，及时启动应急预案，确保紧急或者特殊情况下餐厨废弃物的正常收运和处置。</w:t>
      </w:r>
    </w:p>
    <w:p>
      <w:pPr>
        <w:pStyle w:val="Style15"/>
        <w:shd w:fill="FFFFFF" w:val="clear"/>
        <w:ind w:firstLineChars="200" w:startChars="0" w:start="0" w:endChars="0" w:end="0"/>
        <w:jc w:val="both"/>
        <w:rPr>
          <w:rFonts w:ascii="仿宋" w:hAnsi="仿宋" w:eastAsia="仿宋" w:cs="仿宋"/>
          <w:sz w:val="32"/>
          <w:szCs w:val="32"/>
        </w:rPr>
      </w:pPr>
      <w:r>
        <w:rPr>
          <w:rFonts w:ascii="仿宋" w:hAnsi="仿宋" w:cs="仿宋" w:hint="eastAsia" w:eastAsia="仿宋"/>
          <w:sz w:val="32"/>
          <w:szCs w:val="32"/>
        </w:rPr>
        <w:t>餐厨废弃物收运、处置企业应当按照国家有关规定制定</w:t>
      </w:r>
      <w:r>
        <w:rPr>
          <w:rFonts w:ascii="仿宋" w:hAnsi="仿宋" w:cs="仿宋" w:hint="eastAsia" w:eastAsia="仿宋"/>
          <w:kern w:val="2"/>
          <w:sz w:val="32"/>
          <w:szCs w:val="32"/>
        </w:rPr>
        <w:t>控制污染和突发事件应急预案，报</w:t>
      </w:r>
      <w:r>
        <w:rPr>
          <w:rFonts w:ascii="仿宋" w:hAnsi="仿宋" w:cs="仿宋" w:hint="eastAsia" w:eastAsia="仿宋"/>
          <w:sz w:val="32"/>
          <w:szCs w:val="32"/>
        </w:rPr>
        <w:t>市容环境卫生行政主管部门和生态环境主管部门备案；在发生或者可能发生环境事件和突发事件时，立即采取措施处理，并向市容环境卫生行政主管部门和生态环境主管部门报告。</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第十六条  </w:t>
      </w:r>
      <w:r>
        <w:rPr>
          <w:rFonts w:ascii="仿宋" w:hAnsi="仿宋" w:cs="仿宋" w:hint="eastAsia" w:eastAsia="仿宋"/>
          <w:sz w:val="32"/>
          <w:szCs w:val="32"/>
        </w:rPr>
        <w:t>餐厨废弃物收运、处置企业不得擅自停业、歇业。</w:t>
      </w:r>
    </w:p>
    <w:p>
      <w:pPr>
        <w:pStyle w:val="Normal"/>
        <w:ind w:firstLineChars="200" w:startChars="0" w:start="0" w:endChars="0" w:end="0"/>
        <w:rPr>
          <w:rFonts w:ascii="楷体" w:hAnsi="楷体" w:eastAsia="楷体" w:cs="楷体"/>
          <w:sz w:val="32"/>
          <w:szCs w:val="32"/>
        </w:rPr>
      </w:pPr>
      <w:r>
        <w:rPr>
          <w:rFonts w:ascii="仿宋" w:hAnsi="仿宋" w:cs="仿宋" w:hint="eastAsia" w:eastAsia="仿宋"/>
          <w:sz w:val="32"/>
          <w:szCs w:val="32"/>
        </w:rPr>
        <w:t>餐厨废弃物收运、处置企业擅自停业、歇业的，市容环境卫生行政主管部门应当依法采取有效措施督促其履行义务；严重影响社会公共利益和安全的，市容环境卫生行政主管部门可以按照国家有关规定实施临时接管。</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第十七条  </w:t>
      </w:r>
      <w:r>
        <w:rPr>
          <w:rFonts w:ascii="仿宋" w:hAnsi="仿宋" w:cs="仿宋" w:hint="eastAsia" w:eastAsia="仿宋"/>
          <w:sz w:val="32"/>
          <w:szCs w:val="32"/>
        </w:rPr>
        <w:t>市容环境卫生行政主管部门应当建立健全餐厨废弃物投放、收运、处置监督管理制度，加强对餐厨废弃物投放、收运、处置情况的日常管理和监督检查，开展相关法律、法规和制度宣传，督促产生餐厨废弃物的单位和食品生产经营者与餐厨废弃物收运企业签订、执行收运协议。</w:t>
      </w:r>
    </w:p>
    <w:p>
      <w:pPr>
        <w:pStyle w:val="Style15"/>
        <w:shd w:fill="FFFFFF" w:val="clear"/>
        <w:ind w:firstLineChars="200" w:startChars="0" w:start="0" w:endChars="0" w:end="0"/>
        <w:jc w:val="both"/>
        <w:rPr>
          <w:rFonts w:ascii="仿宋" w:hAnsi="仿宋" w:eastAsia="仿宋" w:cs="仿宋"/>
          <w:kern w:val="2"/>
          <w:sz w:val="32"/>
          <w:szCs w:val="32"/>
        </w:rPr>
      </w:pPr>
      <w:r>
        <w:rPr>
          <w:rFonts w:ascii="黑体;SimHei" w:hAnsi="黑体;SimHei" w:cs="黑体;SimHei" w:hint="eastAsia" w:eastAsia="黑体;SimHei"/>
          <w:kern w:val="2"/>
          <w:sz w:val="32"/>
          <w:szCs w:val="32"/>
        </w:rPr>
        <w:t xml:space="preserve">第十八条  </w:t>
      </w:r>
      <w:r>
        <w:rPr>
          <w:rFonts w:ascii="仿宋" w:hAnsi="仿宋" w:cs="仿宋" w:hint="eastAsia" w:eastAsia="仿宋"/>
          <w:kern w:val="2"/>
          <w:sz w:val="32"/>
          <w:szCs w:val="32"/>
        </w:rPr>
        <w:t>餐厨废弃物的交付实行联单管理。产生餐厨废弃物的单位和食品生产经营者、餐厨废弃物收运企业、餐厨废弃物处置企业应当在交付餐厨废弃物时对其种类、数量等相互签字确认。餐厨废弃物交付</w:t>
      </w:r>
      <w:r>
        <w:rPr>
          <w:rFonts w:ascii="仿宋" w:hAnsi="仿宋" w:cs="仿宋" w:hint="eastAsia" w:eastAsia="仿宋"/>
          <w:sz w:val="32"/>
          <w:szCs w:val="32"/>
        </w:rPr>
        <w:t>联单由市容环境卫生行政主管部门监制。</w:t>
      </w:r>
    </w:p>
    <w:p>
      <w:pPr>
        <w:pStyle w:val="Style15"/>
        <w:shd w:fill="FFFFFF" w:val="clear"/>
        <w:ind w:firstLineChars="200" w:startChars="0" w:start="0" w:endChars="0" w:end="0"/>
        <w:jc w:val="both"/>
        <w:rPr>
          <w:rFonts w:ascii="仿宋" w:hAnsi="仿宋" w:eastAsia="仿宋" w:cs="仿宋"/>
          <w:kern w:val="2"/>
          <w:sz w:val="32"/>
          <w:szCs w:val="32"/>
        </w:rPr>
      </w:pPr>
      <w:r>
        <w:rPr>
          <w:rFonts w:ascii="黑体;SimHei" w:hAnsi="黑体;SimHei" w:cs="黑体;SimHei" w:hint="eastAsia" w:eastAsia="黑体;SimHei"/>
          <w:kern w:val="2"/>
          <w:sz w:val="32"/>
          <w:szCs w:val="32"/>
        </w:rPr>
        <w:t xml:space="preserve">第十九条  </w:t>
      </w:r>
      <w:r>
        <w:rPr>
          <w:rFonts w:ascii="仿宋" w:hAnsi="仿宋" w:cs="仿宋" w:hint="eastAsia" w:eastAsia="仿宋"/>
          <w:kern w:val="2"/>
          <w:sz w:val="32"/>
          <w:szCs w:val="32"/>
        </w:rPr>
        <w:t>餐厨废弃物收运、处置企业应当建立管理</w:t>
      </w:r>
      <w:r>
        <w:rPr>
          <w:rFonts w:ascii="仿宋" w:hAnsi="仿宋" w:cs="仿宋" w:hint="eastAsia" w:eastAsia="仿宋"/>
          <w:sz w:val="32"/>
          <w:szCs w:val="32"/>
        </w:rPr>
        <w:t>台帐，记录餐厨废弃物的来源、种类、数量、去向、处理方式及其加工产品的流向等有关情况，并每月向市容环境卫生行政主管部门报告。</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第二十条  </w:t>
      </w:r>
      <w:r>
        <w:rPr>
          <w:rFonts w:ascii="仿宋" w:hAnsi="仿宋" w:cs="仿宋" w:hint="eastAsia" w:eastAsia="仿宋"/>
          <w:sz w:val="32"/>
          <w:szCs w:val="32"/>
        </w:rPr>
        <w:t>任何单位和个人都有权对违反本条例的行为进行投诉举报。市容环境卫生行政主管部门应当及时受理并依法查处。</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第二十一条  </w:t>
      </w:r>
      <w:r>
        <w:rPr>
          <w:rFonts w:ascii="仿宋" w:hAnsi="仿宋" w:cs="仿宋" w:hint="eastAsia" w:eastAsia="仿宋"/>
          <w:sz w:val="32"/>
          <w:szCs w:val="32"/>
        </w:rPr>
        <w:t>市容环境卫生行政主管部门及其他有关部门实施监督检查时，有关单位和个人应当配合，如实反映情况，提供必要资料。被检查的单位和个人不得妨碍监督检查人员依法执行公务。</w:t>
      </w:r>
    </w:p>
    <w:p>
      <w:pPr>
        <w:pStyle w:val="Style15"/>
        <w:shd w:fill="FFFFFF" w:val="clear"/>
        <w:ind w:firstLineChars="200" w:startChars="0" w:start="0" w:endChars="0" w:end="0"/>
        <w:jc w:val="both"/>
        <w:rPr>
          <w:rFonts w:ascii="仿宋" w:hAnsi="仿宋" w:eastAsia="仿宋" w:cs="仿宋"/>
          <w:kern w:val="2"/>
          <w:sz w:val="32"/>
          <w:szCs w:val="32"/>
        </w:rPr>
      </w:pPr>
      <w:r>
        <w:rPr>
          <w:rFonts w:ascii="黑体;SimHei" w:hAnsi="黑体;SimHei" w:cs="黑体;SimHei" w:hint="eastAsia" w:eastAsia="黑体;SimHei"/>
          <w:sz w:val="32"/>
          <w:szCs w:val="32"/>
        </w:rPr>
        <w:t xml:space="preserve">第二十二条  </w:t>
      </w:r>
      <w:r>
        <w:rPr>
          <w:rFonts w:ascii="仿宋" w:hAnsi="仿宋" w:cs="仿宋" w:hint="eastAsia" w:eastAsia="仿宋"/>
          <w:kern w:val="2"/>
          <w:sz w:val="32"/>
          <w:szCs w:val="32"/>
        </w:rPr>
        <w:t xml:space="preserve">市容环境卫生行政主管部门可以依法对未取得特许经营权的单位和个人违法收运、处置餐厨废弃物的器具和承载工具予以扣押。  </w:t>
      </w:r>
    </w:p>
    <w:p>
      <w:pPr>
        <w:pStyle w:val="Normal"/>
        <w:widowControl/>
        <w:snapToGrid w:val="false"/>
        <w:jc w:val="center"/>
        <w:rPr>
          <w:rFonts w:ascii="仿宋" w:hAnsi="仿宋" w:eastAsia="仿宋" w:cs="仿宋"/>
          <w:kern w:val="2"/>
          <w:sz w:val="32"/>
          <w:szCs w:val="32"/>
        </w:rPr>
      </w:pPr>
      <w:r>
        <w:rPr>
          <w:rFonts w:eastAsia="仿宋" w:cs="仿宋" w:ascii="仿宋" w:hAnsi="仿宋"/>
          <w:kern w:val="2"/>
          <w:sz w:val="32"/>
          <w:szCs w:val="32"/>
        </w:rPr>
      </w:r>
    </w:p>
    <w:p>
      <w:pPr>
        <w:pStyle w:val="Normal"/>
        <w:widowControl/>
        <w:snapToGrid w:val="false"/>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法律责任</w:t>
      </w:r>
    </w:p>
    <w:p>
      <w:pPr>
        <w:pStyle w:val="Normal"/>
        <w:widowControl/>
        <w:snapToGrid w:val="false"/>
        <w:jc w:val="center"/>
        <w:rPr>
          <w:rFonts w:ascii="仿宋" w:hAnsi="仿宋" w:eastAsia="仿宋" w:cs="仿宋"/>
          <w:sz w:val="32"/>
          <w:szCs w:val="32"/>
        </w:rPr>
      </w:pPr>
      <w:r>
        <w:rPr>
          <w:rFonts w:eastAsia="仿宋" w:cs="仿宋" w:ascii="仿宋" w:hAnsi="仿宋"/>
          <w:sz w:val="32"/>
          <w:szCs w:val="32"/>
        </w:rPr>
      </w:r>
    </w:p>
    <w:p>
      <w:pPr>
        <w:pStyle w:val="Normal"/>
        <w:ind w:firstLine="644" w:end="0"/>
        <w:rPr/>
      </w:pPr>
      <w:r>
        <w:rPr>
          <w:rFonts w:ascii="黑体;SimHei" w:hAnsi="黑体;SimHei" w:cs="黑体;SimHei" w:hint="eastAsia" w:eastAsia="黑体;SimHei"/>
          <w:sz w:val="32"/>
          <w:szCs w:val="32"/>
        </w:rPr>
        <w:t xml:space="preserve">第二十三条  </w:t>
      </w:r>
      <w:r>
        <w:rPr>
          <w:rFonts w:ascii="仿宋" w:hAnsi="仿宋" w:cs="仿宋" w:hint="eastAsia" w:eastAsia="仿宋"/>
          <w:sz w:val="32"/>
          <w:szCs w:val="32"/>
        </w:rPr>
        <w:t>未取得特许经营权的单位和个人违反本条例规定，从事餐厨废弃物经营性收运、处置活动的，由市容环境卫生行政主管部门责令停止违法行为，没收违法所得，并对单位处以一万元以上三万元以下罚款；对从事经营性收运活动的个人处以二千元以上五千元以下罚款；对从事经营性处置活动的个人处以五千元以上一万元以下罚款。</w:t>
      </w:r>
    </w:p>
    <w:p>
      <w:pPr>
        <w:pStyle w:val="Normal"/>
        <w:ind w:firstLine="644" w:end="0"/>
        <w:rPr>
          <w:rFonts w:ascii="仿宋" w:hAnsi="仿宋" w:eastAsia="仿宋" w:cs="仿宋"/>
          <w:sz w:val="32"/>
          <w:szCs w:val="32"/>
        </w:rPr>
      </w:pPr>
      <w:r>
        <w:rPr>
          <w:rFonts w:ascii="黑体;SimHei" w:hAnsi="黑体;SimHei" w:cs="黑体;SimHei" w:hint="eastAsia" w:eastAsia="黑体;SimHei"/>
          <w:sz w:val="32"/>
          <w:szCs w:val="32"/>
        </w:rPr>
        <w:t xml:space="preserve">第二十四条  </w:t>
      </w:r>
      <w:r>
        <w:rPr>
          <w:rFonts w:ascii="仿宋" w:hAnsi="仿宋" w:cs="仿宋" w:hint="eastAsia" w:eastAsia="仿宋"/>
          <w:sz w:val="32"/>
          <w:szCs w:val="32"/>
        </w:rPr>
        <w:t>产生餐厨废弃物的单位和食品生产经营者违反本条例规定，由市容环境卫生行政主管部门按照下列规定予以处罚：</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（一）未将餐厨废弃物单独投放于专用收集容器内，</w:t>
      </w:r>
      <w:r>
        <w:rPr>
          <w:rFonts w:ascii="仿宋_GB2312" w:hAnsi="仿宋_GB2312" w:cs="宋体;SimSun" w:hint="eastAsia" w:eastAsia="仿宋_GB2312"/>
          <w:color w:val="000000"/>
          <w:sz w:val="32"/>
          <w:szCs w:val="32"/>
        </w:rPr>
        <w:t>或者未保持专用收集容器密闭，</w:t>
      </w:r>
      <w:r>
        <w:rPr>
          <w:rFonts w:ascii="仿宋" w:hAnsi="仿宋" w:cs="仿宋" w:hint="eastAsia" w:eastAsia="仿宋"/>
          <w:sz w:val="32"/>
          <w:szCs w:val="32"/>
        </w:rPr>
        <w:t>裸露存放餐厨废弃物的，责令限期改正；逾期不改正的，对产生餐厨废弃物的单位处以五百元以上二千元以下罚款，对产生餐厨废弃物的食品生产经营者处以二百元以上五百元以下罚款。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将非餐厨废弃物与餐厨废弃物混合投放于专用收集容器内的，责令限期改正；逾期不改正的，对产生餐厨废弃物的单位处以一千元以上三千元以下罚款，对产生餐厨废弃物的食品生产经营者处以二百元以上五百元以下罚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将餐厨废弃物交给未取得特许经营权的单位和个人收运、处置的，责令改正，并对产生餐厨废弃物的单位处以五千元以上五万元以下罚款，对产生餐厨废弃物的食品生产经营者处以二百元以上五百元以下罚款。</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第二十五条  </w:t>
      </w:r>
      <w:r>
        <w:rPr>
          <w:rFonts w:ascii="仿宋" w:hAnsi="仿宋" w:cs="仿宋" w:hint="eastAsia" w:eastAsia="仿宋"/>
          <w:sz w:val="32"/>
          <w:szCs w:val="32"/>
        </w:rPr>
        <w:t>餐厨废弃物收运、处置企业违反本条例规定，由市容环境卫生行政主管部门按照下列规定予以处罚：</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未为签订餐厨废弃物收运协议的单位和食品生产经营者提供专用收集容器，未在规定时限内收运餐厨废弃物，未保持行驶及装卸记录装置准确运行，或者未对接收的餐厨废弃物准确称重计量的，责令限期改正；逾期不改正的，处以五千元以上一万元以下罚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（二）未使用专用运输车辆密闭化运输餐厨废弃物，或者在运输过程中遗撒、丢弃餐厨废弃物的，责令改正，并处一万元以上三万元以下罚款。</w:t>
      </w:r>
    </w:p>
    <w:p>
      <w:pPr>
        <w:pStyle w:val="Normal"/>
        <w:ind w:firstLine="644" w:end="0"/>
        <w:rPr>
          <w:rFonts w:ascii="仿宋" w:hAnsi="仿宋" w:eastAsia="仿宋" w:cs="仿宋"/>
          <w:sz w:val="32"/>
          <w:szCs w:val="32"/>
        </w:rPr>
      </w:pPr>
      <w:r>
        <w:rPr>
          <w:rFonts w:ascii="仿宋" w:hAnsi="仿宋" w:cs="仿宋" w:hint="eastAsia" w:eastAsia="仿宋"/>
          <w:sz w:val="32"/>
          <w:szCs w:val="32"/>
        </w:rPr>
        <w:t>（三）未按要求建立餐厨废弃物管理台账并定期向市容环境卫生行政主管部门报告的，责令改正，并处三万元以上五万元以下罚款。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（四）未保持餐厨废弃物处置设施、设备正常运行，或者未按国家有关规定和标准处置餐厨废弃物的，责令改正</w:t>
      </w:r>
      <w:r>
        <w:rPr>
          <w:rFonts w:eastAsia="仿宋" w:cs="仿宋" w:hint="eastAsia" w:ascii="仿宋" w:hAnsi="仿宋"/>
          <w:sz w:val="32"/>
          <w:szCs w:val="32"/>
        </w:rPr>
        <w:t>,</w:t>
      </w:r>
      <w:r>
        <w:rPr>
          <w:rFonts w:ascii="仿宋" w:hAnsi="仿宋" w:cs="仿宋" w:hint="eastAsia" w:eastAsia="仿宋"/>
          <w:sz w:val="32"/>
          <w:szCs w:val="32"/>
        </w:rPr>
        <w:t>并处五万元以上十万元以下罚款。</w:t>
      </w:r>
    </w:p>
    <w:p>
      <w:pPr>
        <w:pStyle w:val="Normal"/>
        <w:ind w:firstLineChars="193" w:startChars="8" w:endChars="0" w:end="0"/>
        <w:rPr>
          <w:rFonts w:ascii="仿宋" w:hAnsi="仿宋" w:eastAsia="仿宋" w:cs="仿宋"/>
          <w:sz w:val="32"/>
          <w:szCs w:val="32"/>
        </w:rPr>
      </w:pPr>
      <w:r>
        <w:rPr>
          <w:rFonts w:ascii="仿宋" w:hAnsi="仿宋" w:cs="仿宋" w:hint="eastAsia" w:eastAsia="仿宋"/>
          <w:sz w:val="32"/>
          <w:szCs w:val="32"/>
        </w:rPr>
        <w:t>（五）将餐厨废弃物交给其他单位和个人处置，或者对接收的餐厨废弃物称重计量数据造假，骗取收运、处置补贴的，没收违法所得，并处五万元以上十万元以下罚款。</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 xml:space="preserve">第二十六条  </w:t>
      </w:r>
      <w:r>
        <w:rPr>
          <w:rFonts w:ascii="仿宋" w:hAnsi="仿宋" w:cs="仿宋" w:hint="eastAsia" w:eastAsia="仿宋"/>
          <w:sz w:val="32"/>
          <w:szCs w:val="32"/>
        </w:rPr>
        <w:t>市容环境卫生行政主管部门和其他有关部门的工作人员在餐厨废弃物监督管理活动中滥用职权、玩忽职守、徇私舞弊的，由相关部门对直接负责的主管人员和其他直接责任人员依法给予政务处分；构成犯罪的，依法追究刑事责任。</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附  则</w:t>
      </w:r>
    </w:p>
    <w:p>
      <w:pPr>
        <w:pStyle w:val="Normal"/>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ind w:firstLine="640" w:end="0"/>
        <w:rPr/>
      </w:pPr>
      <w:r>
        <w:rPr>
          <w:rFonts w:ascii="黑体;SimHei" w:hAnsi="黑体;SimHei" w:cs="黑体;SimHei" w:hint="eastAsia" w:eastAsia="黑体;SimHei"/>
          <w:sz w:val="32"/>
          <w:szCs w:val="32"/>
        </w:rPr>
        <w:t xml:space="preserve">第二十七条  </w:t>
      </w:r>
      <w:r>
        <w:rPr>
          <w:rFonts w:ascii="仿宋" w:hAnsi="仿宋" w:cs="仿宋" w:hint="eastAsia" w:eastAsia="仿宋"/>
          <w:sz w:val="32"/>
          <w:szCs w:val="32"/>
        </w:rPr>
        <w:t>本条例自</w:t>
      </w:r>
      <w:r>
        <w:rPr>
          <w:rFonts w:eastAsia="仿宋" w:cs="仿宋" w:hint="eastAsia" w:ascii="仿宋" w:hAnsi="仿宋"/>
          <w:sz w:val="32"/>
          <w:szCs w:val="32"/>
        </w:rPr>
        <w:t>2019</w:t>
      </w:r>
      <w:r>
        <w:rPr>
          <w:rFonts w:ascii="仿宋" w:hAnsi="仿宋" w:cs="仿宋" w:hint="eastAsia" w:eastAsia="仿宋"/>
          <w:sz w:val="32"/>
          <w:szCs w:val="32"/>
        </w:rPr>
        <w:t>年</w:t>
      </w:r>
      <w:r>
        <w:rPr>
          <w:rFonts w:eastAsia="仿宋" w:cs="仿宋" w:hint="eastAsia" w:ascii="仿宋" w:hAnsi="仿宋"/>
          <w:sz w:val="32"/>
          <w:szCs w:val="32"/>
        </w:rPr>
        <w:t>6</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bookmarkStart w:id="0" w:name="4641216-4854145-9"/>
      <w:bookmarkEnd w:id="0"/>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sectPr>
      <w:footerReference w:type="even" r:id="rId2"/>
      <w:footerReference w:type="default" r:id="rId3"/>
      <w:type w:val="nextPage"/>
      <w:pgSz w:w="11906" w:h="16838"/>
      <w:pgMar w:left="1588" w:right="1588" w:gutter="0" w:header="0" w:top="2098" w:footer="850" w:bottom="2098"/>
      <w:pgNumType w:fmt="decimal"/>
      <w:formProt w:val="false"/>
      <w:textDirection w:val="lrTb"/>
      <w:docGrid w:type="linesAndChars" w:linePitch="287" w:charSpace="42949648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仿宋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2017-11-13T15:10:00Z</dcterms:created>
  <dc:creator>USER</dc:creator>
  <dc:description/>
  <cp:keywords/>
  <dc:language>en-US</dc:language>
  <cp:lastModifiedBy>Administrator</cp:lastModifiedBy>
  <dcterms:modified xsi:type="dcterms:W3CDTF">2018-12-27T11:07:00Z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