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startChars="0" w:start="0" w:endChars="0" w:end="0"/>
        <w:jc w:val="center"/>
        <w:rPr>
          <w:rFonts w:ascii="华文中宋" w:hAnsi="华文中宋" w:eastAsia="华文中宋" w:cs="华文中宋" w:hint="eastAsia"/>
          <w:sz w:val="44"/>
          <w:szCs w:val="44"/>
        </w:rPr>
      </w:pPr>
      <w:r>
        <w:rPr>
          <w:rFonts w:ascii="华文中宋" w:hAnsi="华文中宋" w:cs="华文中宋" w:hint="eastAsia" w:eastAsia="华文中宋"/>
          <w:sz w:val="44"/>
          <w:szCs w:val="44"/>
        </w:rPr>
        <w:t xml:space="preserve">沈阳市道路货运市场管理条例 </w:t>
      </w:r>
    </w:p>
    <w:p>
      <w:pPr>
        <w:pStyle w:val="Normal"/>
        <w:ind w:firstLineChars="0" w:firstLine="0" w:startChars="0" w:start="0" w:endChars="0" w:end="0"/>
        <w:jc w:val="center"/>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ind w:firstLineChars="0" w:firstLine="0" w:startChars="0" w:start="0" w:endChars="0" w:end="0"/>
        <w:jc w:val="center"/>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1997</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8</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w:t>
      </w:r>
      <w:r>
        <w:rPr>
          <w:rFonts w:ascii="楷体_GB2312;楷体" w:hAnsi="楷体_GB2312;楷体" w:cs="楷体_GB2312;楷体" w:hint="eastAsia" w:eastAsia="楷体_GB2312;楷体"/>
          <w:sz w:val="32"/>
          <w:szCs w:val="32"/>
        </w:rPr>
        <w:t>日沈阳市第十一届人民代表大会</w:t>
      </w:r>
    </w:p>
    <w:p>
      <w:pPr>
        <w:pStyle w:val="Normal"/>
        <w:ind w:firstLineChars="0" w:firstLine="0" w:startChars="0" w:start="0" w:endChars="0" w:end="0"/>
        <w:jc w:val="center"/>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常务委员会第三十次会议通过；</w:t>
      </w:r>
    </w:p>
    <w:p>
      <w:pPr>
        <w:pStyle w:val="Normal"/>
        <w:ind w:firstLineChars="0" w:firstLine="0" w:startChars="0" w:start="0" w:endChars="0" w:end="0"/>
        <w:jc w:val="center"/>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eastAsia="楷体_GB2312;楷体" w:cs="楷体_GB2312;楷体" w:hint="eastAsia" w:ascii="楷体_GB2312;楷体" w:hAnsi="楷体_GB2312;楷体"/>
          <w:sz w:val="32"/>
          <w:szCs w:val="32"/>
        </w:rPr>
        <w:t>1997</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9</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27</w:t>
      </w:r>
      <w:r>
        <w:rPr>
          <w:rFonts w:ascii="楷体_GB2312;楷体" w:hAnsi="楷体_GB2312;楷体" w:cs="楷体_GB2312;楷体" w:hint="eastAsia" w:eastAsia="楷体_GB2312;楷体"/>
          <w:sz w:val="32"/>
          <w:szCs w:val="32"/>
        </w:rPr>
        <w:t>日辽宁省第八届人民代表大会</w:t>
      </w:r>
    </w:p>
    <w:p>
      <w:pPr>
        <w:pStyle w:val="Normal"/>
        <w:ind w:firstLineChars="0" w:firstLine="0" w:startChars="0" w:start="0" w:endChars="0" w:end="0"/>
        <w:jc w:val="center"/>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常务委员会第三十次会议批准；</w:t>
      </w:r>
    </w:p>
    <w:p>
      <w:pPr>
        <w:pStyle w:val="Normal"/>
        <w:ind w:firstLineChars="0" w:firstLine="0" w:startChars="0" w:start="0" w:endChars="0" w:end="0"/>
        <w:jc w:val="center"/>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eastAsia="楷体_GB2312;楷体" w:cs="楷体_GB2312;楷体" w:hint="eastAsia" w:ascii="楷体_GB2312;楷体" w:hAnsi="楷体_GB2312;楷体"/>
          <w:sz w:val="32"/>
          <w:szCs w:val="32"/>
        </w:rPr>
        <w:t>2006</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16</w:t>
      </w:r>
      <w:r>
        <w:rPr>
          <w:rFonts w:ascii="楷体_GB2312;楷体" w:hAnsi="楷体_GB2312;楷体" w:cs="楷体_GB2312;楷体" w:hint="eastAsia" w:eastAsia="楷体_GB2312;楷体"/>
          <w:sz w:val="32"/>
          <w:szCs w:val="32"/>
        </w:rPr>
        <w:t>日沈阳市第十三届人民代表大会</w:t>
      </w:r>
    </w:p>
    <w:p>
      <w:pPr>
        <w:pStyle w:val="Normal"/>
        <w:ind w:firstLineChars="0" w:firstLine="0" w:startChars="0" w:start="0" w:endChars="0" w:end="0"/>
        <w:jc w:val="center"/>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常务委员会第三十三次会议修订；</w:t>
      </w:r>
    </w:p>
    <w:p>
      <w:pPr>
        <w:pStyle w:val="Normal"/>
        <w:ind w:firstLineChars="0" w:firstLine="0" w:startChars="0" w:start="0" w:endChars="0" w:end="0"/>
        <w:jc w:val="center"/>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eastAsia="楷体_GB2312;楷体" w:cs="楷体_GB2312;楷体" w:hint="eastAsia" w:ascii="楷体_GB2312;楷体" w:hAnsi="楷体_GB2312;楷体"/>
          <w:sz w:val="32"/>
          <w:szCs w:val="32"/>
        </w:rPr>
        <w:t>2007</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12</w:t>
      </w:r>
      <w:r>
        <w:rPr>
          <w:rFonts w:ascii="楷体_GB2312;楷体" w:hAnsi="楷体_GB2312;楷体" w:cs="楷体_GB2312;楷体" w:hint="eastAsia" w:eastAsia="楷体_GB2312;楷体"/>
          <w:sz w:val="32"/>
          <w:szCs w:val="32"/>
        </w:rPr>
        <w:t>日辽宁省第十届人民代表大会</w:t>
      </w:r>
    </w:p>
    <w:p>
      <w:pPr>
        <w:pStyle w:val="Normal"/>
        <w:ind w:firstLineChars="0" w:firstLine="0" w:startChars="0" w:start="0" w:endChars="0" w:end="0"/>
        <w:jc w:val="center"/>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常务委员会第二十九次会议批准</w:t>
      </w:r>
    </w:p>
    <w:p>
      <w:pPr>
        <w:pStyle w:val="Normal"/>
        <w:ind w:firstLineChars="0" w:firstLine="0" w:startChars="0" w:start="0" w:endChars="0" w:end="0"/>
        <w:jc w:val="both"/>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根据</w:t>
      </w:r>
      <w:r>
        <w:rPr>
          <w:rFonts w:eastAsia="楷体_GB2312;楷体" w:cs="楷体_GB2312;楷体" w:hint="eastAsia" w:ascii="楷体_GB2312;楷体" w:hAnsi="楷体_GB2312;楷体"/>
          <w:sz w:val="32"/>
          <w:szCs w:val="32"/>
        </w:rPr>
        <w:t>2019</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6</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21</w:t>
      </w:r>
      <w:r>
        <w:rPr>
          <w:rFonts w:ascii="楷体_GB2312;楷体" w:hAnsi="楷体_GB2312;楷体" w:cs="楷体_GB2312;楷体" w:hint="eastAsia" w:eastAsia="楷体_GB2312;楷体"/>
          <w:sz w:val="32"/>
          <w:szCs w:val="32"/>
        </w:rPr>
        <w:t>日沈阳市第十六届人民代表大会常务委员会第十二次会议通过，</w:t>
      </w:r>
      <w:r>
        <w:rPr>
          <w:rFonts w:eastAsia="楷体_GB2312;楷体" w:cs="楷体_GB2312;楷体" w:hint="eastAsia" w:ascii="楷体_GB2312;楷体" w:hAnsi="楷体_GB2312;楷体"/>
          <w:sz w:val="32"/>
          <w:szCs w:val="32"/>
        </w:rPr>
        <w:t>2019</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7</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日辽宁省第十三届人民代表大会常务委员会第十二次会议批准</w:t>
      </w:r>
      <w:r>
        <w:rPr>
          <w:rFonts w:ascii="楷体_GB2312;楷体" w:hAnsi="楷体_GB2312;楷体" w:cs="楷体_GB2312;楷体" w:hint="eastAsia" w:eastAsia="楷体_GB2312;楷体"/>
          <w:b w:val="false"/>
          <w:bCs w:val="false"/>
          <w:sz w:val="32"/>
          <w:szCs w:val="32"/>
        </w:rPr>
        <w:t>《沈阳市人民代表大会常务委员会关于修改〈沈阳市道路货运市场管理条例〉〈沈阳市环境噪声污染防治条例〉的决定》修正</w:t>
      </w:r>
      <w:r>
        <w:rPr>
          <w:rFonts w:ascii="楷体_GB2312;楷体" w:hAnsi="楷体_GB2312;楷体" w:cs="楷体_GB2312;楷体" w:hint="eastAsia" w:eastAsia="楷体_GB2312;楷体"/>
          <w:sz w:val="32"/>
          <w:szCs w:val="32"/>
        </w:rPr>
        <w:t>）</w:t>
      </w:r>
    </w:p>
    <w:p>
      <w:pPr>
        <w:pStyle w:val="Normal"/>
        <w:ind w:firstLineChars="0" w:firstLine="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r>
    </w:p>
    <w:p>
      <w:pPr>
        <w:pStyle w:val="Normal"/>
        <w:ind w:firstLineChars="0" w:firstLine="0" w:startChars="0" w:start="0" w:endChars="0" w:end="0"/>
        <w:jc w:val="center"/>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ind w:firstLineChars="0" w:firstLine="0" w:startChars="0" w:start="0" w:endChars="0" w:end="0"/>
        <w:jc w:val="center"/>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ind w:firstLineChars="0" w:firstLine="0" w:startChars="0" w:start="0" w:endChars="0" w:end="0"/>
        <w:jc w:val="center"/>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ind w:firstLineChars="0" w:firstLine="0" w:startChars="0" w:start="0" w:endChars="0" w:end="0"/>
        <w:jc w:val="center"/>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ind w:firstLineChars="0" w:firstLine="0" w:startChars="0" w:start="0" w:endChars="0" w:end="0"/>
        <w:jc w:val="center"/>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ind w:firstLineChars="0" w:firstLine="0" w:startChars="0" w:start="0" w:endChars="0" w:end="0"/>
        <w:jc w:val="center"/>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ind w:firstLineChars="0" w:firstLine="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
        <w:ind w:firstLineChars="0" w:firstLine="0" w:startChars="0" w:start="0" w:endChars="0" w:end="0"/>
        <w:jc w:val="both"/>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第一章  总则</w:t>
      </w:r>
    </w:p>
    <w:p>
      <w:pPr>
        <w:pStyle w:val="Normal"/>
        <w:ind w:firstLineChars="0" w:firstLine="0" w:startChars="0" w:start="0" w:endChars="0" w:end="0"/>
        <w:jc w:val="both"/>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第二章  经营者及从业人员</w:t>
      </w:r>
    </w:p>
    <w:p>
      <w:pPr>
        <w:pStyle w:val="Normal"/>
        <w:ind w:firstLineChars="0" w:firstLine="0" w:startChars="0" w:start="0" w:endChars="0" w:end="0"/>
        <w:jc w:val="both"/>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第三章  道路货运</w:t>
      </w:r>
    </w:p>
    <w:p>
      <w:pPr>
        <w:pStyle w:val="Normal"/>
        <w:ind w:firstLineChars="0" w:firstLine="0" w:startChars="0" w:start="0" w:endChars="0" w:end="0"/>
        <w:jc w:val="both"/>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第四章  货运服务</w:t>
      </w:r>
    </w:p>
    <w:p>
      <w:pPr>
        <w:pStyle w:val="Normal"/>
        <w:ind w:firstLineChars="0" w:firstLine="0" w:startChars="0" w:start="0" w:endChars="0" w:end="0"/>
        <w:jc w:val="both"/>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第五章  监督管理</w:t>
      </w:r>
    </w:p>
    <w:p>
      <w:pPr>
        <w:pStyle w:val="Normal"/>
        <w:ind w:firstLineChars="0" w:firstLine="0" w:startChars="0" w:start="0" w:endChars="0" w:end="0"/>
        <w:jc w:val="both"/>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第六章  法律责任</w:t>
      </w:r>
    </w:p>
    <w:p>
      <w:pPr>
        <w:pStyle w:val="Normal"/>
        <w:ind w:firstLineChars="0" w:firstLine="0" w:startChars="0" w:start="0" w:endChars="0" w:end="0"/>
        <w:jc w:val="both"/>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第七章  附则</w:t>
      </w:r>
    </w:p>
    <w:p>
      <w:pPr>
        <w:pStyle w:val="Normal"/>
        <w:ind w:firstLineChars="0" w:firstLine="0" w:startChars="0" w:start="0" w:endChars="0" w:end="0"/>
        <w:jc w:val="center"/>
        <w:rPr>
          <w:rFonts w:ascii="黑体" w:hAnsi="黑体" w:eastAsia="黑体" w:cs="黑体" w:hint="eastAsia"/>
          <w:sz w:val="28"/>
          <w:szCs w:val="28"/>
        </w:rPr>
      </w:pPr>
      <w:r>
        <w:rPr>
          <w:rFonts w:ascii="黑体" w:hAnsi="黑体" w:cs="黑体" w:hint="eastAsia" w:eastAsia="黑体"/>
          <w:sz w:val="28"/>
          <w:szCs w:val="28"/>
        </w:rPr>
        <w:t>　　</w:t>
      </w:r>
    </w:p>
    <w:p>
      <w:pPr>
        <w:pStyle w:val="Normal"/>
        <w:ind w:firstLineChars="0" w:firstLine="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40"/>
        <w:textAlignment w:val="auto"/>
        <w:rPr>
          <w:rFonts w:ascii="仿宋_GB2312" w:hAnsi="仿宋_GB2312" w:eastAsia="仿宋_GB2312" w:cs="仿宋_GB2312" w:hint="eastAsia"/>
          <w:sz w:val="28"/>
          <w:szCs w:val="28"/>
        </w:rPr>
      </w:pPr>
      <w:r>
        <w:rPr>
          <w:rFonts w:ascii="仿宋_GB2312" w:hAnsi="仿宋_GB2312" w:cs="仿宋_GB2312" w:hint="eastAsia" w:eastAsia="仿宋_GB231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3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为了加强道路货运市场管理，维护道路货运市场秩序，保障道路货运当事人合法权益，根据《中华人民共和国道路运输条例》等有关法律、法规的规定，结合本市实际，制定本条例。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3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在本市行政区域内从事道路货运、货运服务的经营者、从业人员、货物托运人和道路货运市场管理人员，应当遵守本条例。</w:t>
      </w:r>
    </w:p>
    <w:p>
      <w:pPr>
        <w:pStyle w:val="Normal"/>
        <w:keepNext w:val="false"/>
        <w:keepLines w:val="false"/>
        <w:pageBreakBefore w:val="false"/>
        <w:widowControl w:val="false"/>
        <w:kinsoku w:val="true"/>
        <w:overflowPunct w:val="true"/>
        <w:autoSpaceDE w:val="true"/>
        <w:bidi w:val="0"/>
        <w:snapToGrid w:val="true"/>
        <w:spacing w:lineRule="exact" w:line="53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本条例所称道路货运包括普通货物运输、道路货物专用运输、道路大型物件运输、道路危险货物运输等。</w:t>
      </w:r>
    </w:p>
    <w:p>
      <w:pPr>
        <w:pStyle w:val="Normal"/>
        <w:keepNext w:val="false"/>
        <w:keepLines w:val="false"/>
        <w:pageBreakBefore w:val="false"/>
        <w:widowControl w:val="false"/>
        <w:kinsoku w:val="true"/>
        <w:overflowPunct w:val="true"/>
        <w:autoSpaceDE w:val="true"/>
        <w:bidi w:val="0"/>
        <w:snapToGrid w:val="true"/>
        <w:spacing w:lineRule="exact" w:line="53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货运服务包括货运场（站）经营、货物联运、商品车发送、货物中转、包装、汽车租赁、营业性货运车辆停车场经营等业务。</w:t>
      </w:r>
    </w:p>
    <w:p>
      <w:pPr>
        <w:pStyle w:val="Normal"/>
        <w:keepNext w:val="false"/>
        <w:keepLines w:val="false"/>
        <w:pageBreakBefore w:val="false"/>
        <w:widowControl w:val="false"/>
        <w:kinsoku w:val="true"/>
        <w:overflowPunct w:val="true"/>
        <w:autoSpaceDE w:val="true"/>
        <w:bidi w:val="0"/>
        <w:snapToGrid w:val="true"/>
        <w:spacing w:lineRule="exact" w:line="53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货运场（站）经营包括仓储保管、搬运装卸、货运信息、道路物流、货物集散、货运配载、集装箱中转和货运代理等经营活动。</w:t>
      </w:r>
    </w:p>
    <w:p>
      <w:pPr>
        <w:pStyle w:val="Normal"/>
        <w:keepNext w:val="false"/>
        <w:keepLines w:val="false"/>
        <w:pageBreakBefore w:val="false"/>
        <w:widowControl w:val="false"/>
        <w:kinsoku w:val="true"/>
        <w:overflowPunct w:val="true"/>
        <w:autoSpaceDE w:val="true"/>
        <w:bidi w:val="0"/>
        <w:snapToGrid w:val="true"/>
        <w:spacing w:lineRule="exact" w:line="53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市人民政府交通主管部门主管全市道路货运市场工作，负责全市道路货运市场的统一管理和监督。</w:t>
      </w:r>
    </w:p>
    <w:p>
      <w:pPr>
        <w:pStyle w:val="Normal"/>
        <w:keepNext w:val="false"/>
        <w:keepLines w:val="false"/>
        <w:pageBreakBefore w:val="false"/>
        <w:widowControl w:val="false"/>
        <w:kinsoku w:val="true"/>
        <w:overflowPunct w:val="true"/>
        <w:autoSpaceDE w:val="true"/>
        <w:bidi w:val="0"/>
        <w:snapToGrid w:val="true"/>
        <w:spacing w:lineRule="exact" w:line="53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区、县（市）交通主管部门，按照管理权限，负责本行政区域内的道路货运市场管理工作。</w:t>
      </w:r>
    </w:p>
    <w:p>
      <w:pPr>
        <w:pStyle w:val="Normal"/>
        <w:keepNext w:val="false"/>
        <w:keepLines w:val="false"/>
        <w:pageBreakBefore w:val="false"/>
        <w:widowControl w:val="false"/>
        <w:kinsoku w:val="true"/>
        <w:overflowPunct w:val="true"/>
        <w:autoSpaceDE w:val="true"/>
        <w:bidi w:val="0"/>
        <w:snapToGrid w:val="true"/>
        <w:spacing w:lineRule="exact" w:line="53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市和区、县（市）道路运输管理机构负责具体组织实施道路货运市场的日常管理工作。</w:t>
      </w:r>
    </w:p>
    <w:p>
      <w:pPr>
        <w:pStyle w:val="Normal"/>
        <w:keepNext w:val="false"/>
        <w:keepLines w:val="false"/>
        <w:pageBreakBefore w:val="false"/>
        <w:widowControl w:val="false"/>
        <w:kinsoku w:val="true"/>
        <w:overflowPunct w:val="true"/>
        <w:autoSpaceDE w:val="true"/>
        <w:bidi w:val="0"/>
        <w:snapToGrid w:val="true"/>
        <w:spacing w:lineRule="exact" w:line="53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发展改革、市场监督管理、公安、税务、自然资源等部门，应当按照各自的职责分工，对道路货运市场进行监督管理。</w:t>
      </w:r>
    </w:p>
    <w:p>
      <w:pPr>
        <w:pStyle w:val="Normal"/>
        <w:keepNext w:val="false"/>
        <w:keepLines w:val="false"/>
        <w:pageBreakBefore w:val="false"/>
        <w:widowControl w:val="false"/>
        <w:kinsoku w:val="true"/>
        <w:overflowPunct w:val="true"/>
        <w:autoSpaceDE w:val="true"/>
        <w:bidi w:val="0"/>
        <w:snapToGrid w:val="true"/>
        <w:spacing w:lineRule="exact" w:line="53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道路货运市场应当坚持统一管理、依法经营、统筹规划、公平竞争、公开便民、促进发展的原则。</w:t>
      </w:r>
    </w:p>
    <w:p>
      <w:pPr>
        <w:pStyle w:val="Normal"/>
        <w:keepNext w:val="false"/>
        <w:keepLines w:val="false"/>
        <w:pageBreakBefore w:val="false"/>
        <w:widowControl w:val="false"/>
        <w:kinsoku w:val="true"/>
        <w:overflowPunct w:val="true"/>
        <w:autoSpaceDE w:val="true"/>
        <w:bidi w:val="0"/>
        <w:snapToGrid w:val="true"/>
        <w:spacing w:lineRule="exact" w:line="53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p>
    <w:p>
      <w:pPr>
        <w:pStyle w:val="Normal"/>
        <w:ind w:firstLineChars="0" w:firstLine="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第二章  经营者及从业人员</w:t>
      </w:r>
    </w:p>
    <w:p>
      <w:pPr>
        <w:pStyle w:val="Normal"/>
        <w:keepNext w:val="false"/>
        <w:keepLines w:val="false"/>
        <w:pageBreakBefore w:val="false"/>
        <w:widowControl w:val="false"/>
        <w:kinsoku w:val="true"/>
        <w:overflowPunct w:val="true"/>
        <w:autoSpaceDE w:val="true"/>
        <w:bidi w:val="0"/>
        <w:snapToGrid w:val="true"/>
        <w:spacing w:lineRule="exact" w:line="54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4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申请从事道路货运经营的，应当依法向市场监督管理部门办理有关登记手续后，按照规定取得《中华人民共和国道路运输经营许可证》（以下简称《经营许可证》），方可从事经营活动。使用总质量</w:t>
      </w:r>
      <w:r>
        <w:rPr>
          <w:rFonts w:eastAsia="仿宋_GB2312" w:cs="仿宋_GB2312" w:hint="eastAsia" w:ascii="仿宋_GB2312" w:hAnsi="仿宋_GB2312"/>
          <w:sz w:val="32"/>
          <w:szCs w:val="32"/>
        </w:rPr>
        <w:t>4500</w:t>
      </w:r>
      <w:r>
        <w:rPr>
          <w:rFonts w:ascii="仿宋_GB2312" w:hAnsi="仿宋_GB2312" w:cs="仿宋_GB2312" w:hint="eastAsia" w:eastAsia="仿宋_GB2312"/>
          <w:sz w:val="32"/>
          <w:szCs w:val="32"/>
        </w:rPr>
        <w:t>千克及以下普通货运车辆从事普通货运经营的，无需按照本条规定申请取得《经营许可证》。</w:t>
      </w:r>
    </w:p>
    <w:p>
      <w:pPr>
        <w:pStyle w:val="Normal"/>
        <w:keepNext w:val="false"/>
        <w:keepLines w:val="false"/>
        <w:pageBreakBefore w:val="false"/>
        <w:widowControl w:val="false"/>
        <w:kinsoku w:val="true"/>
        <w:overflowPunct w:val="true"/>
        <w:autoSpaceDE w:val="true"/>
        <w:bidi w:val="0"/>
        <w:snapToGrid w:val="true"/>
        <w:spacing w:lineRule="exact" w:line="54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从事道路货运、货运服务的经营者应当接受道路运输管理机构年度质量信誉考核；货运车辆应当按照规定参加年度审验。</w:t>
      </w:r>
    </w:p>
    <w:p>
      <w:pPr>
        <w:pStyle w:val="Normal"/>
        <w:keepNext w:val="false"/>
        <w:keepLines w:val="false"/>
        <w:pageBreakBefore w:val="false"/>
        <w:widowControl w:val="false"/>
        <w:kinsoku w:val="true"/>
        <w:overflowPunct w:val="true"/>
        <w:autoSpaceDE w:val="true"/>
        <w:bidi w:val="0"/>
        <w:snapToGrid w:val="true"/>
        <w:spacing w:lineRule="exact" w:line="54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从事道路货运、货运服务的经营者及从业人员应当接受交通行政管理人员的检查，并如实反映情况，提供有关资料。</w:t>
      </w:r>
    </w:p>
    <w:p>
      <w:pPr>
        <w:pStyle w:val="Normal"/>
        <w:keepNext w:val="false"/>
        <w:keepLines w:val="false"/>
        <w:pageBreakBefore w:val="false"/>
        <w:widowControl w:val="false"/>
        <w:kinsoku w:val="true"/>
        <w:overflowPunct w:val="true"/>
        <w:autoSpaceDE w:val="true"/>
        <w:bidi w:val="0"/>
        <w:snapToGrid w:val="true"/>
        <w:spacing w:lineRule="exact" w:line="54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道路货运经营者应当使用道路运输管理机构印制的货运车辆技术档案文本，并如实填写。</w:t>
      </w:r>
    </w:p>
    <w:p>
      <w:pPr>
        <w:pStyle w:val="Normal"/>
        <w:keepNext w:val="false"/>
        <w:keepLines w:val="false"/>
        <w:pageBreakBefore w:val="false"/>
        <w:widowControl w:val="false"/>
        <w:kinsoku w:val="true"/>
        <w:overflowPunct w:val="true"/>
        <w:autoSpaceDE w:val="true"/>
        <w:bidi w:val="0"/>
        <w:snapToGrid w:val="true"/>
        <w:spacing w:lineRule="exact" w:line="54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从事道路货运、货运服务的经营者应当在经营场所明码标价，公布收费项目和标准，并向道路运输管理机构备案。</w:t>
      </w:r>
    </w:p>
    <w:p>
      <w:pPr>
        <w:pStyle w:val="Normal"/>
        <w:keepNext w:val="false"/>
        <w:keepLines w:val="false"/>
        <w:pageBreakBefore w:val="false"/>
        <w:widowControl w:val="false"/>
        <w:kinsoku w:val="true"/>
        <w:overflowPunct w:val="true"/>
        <w:autoSpaceDE w:val="true"/>
        <w:bidi w:val="0"/>
        <w:snapToGrid w:val="true"/>
        <w:spacing w:lineRule="exact" w:line="54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从事道路货运、货运服务的从业人员，应当遵守下列规定：</w:t>
      </w:r>
    </w:p>
    <w:p>
      <w:pPr>
        <w:pStyle w:val="Normal"/>
        <w:keepNext w:val="false"/>
        <w:keepLines w:val="false"/>
        <w:pageBreakBefore w:val="false"/>
        <w:widowControl w:val="false"/>
        <w:kinsoku w:val="true"/>
        <w:overflowPunct w:val="true"/>
        <w:autoSpaceDE w:val="true"/>
        <w:bidi w:val="0"/>
        <w:snapToGrid w:val="true"/>
        <w:spacing w:lineRule="exact" w:line="54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（一）接受有关交通道路运输方面的法律、法规、职业道德和业务技术培训；</w:t>
      </w:r>
    </w:p>
    <w:p>
      <w:pPr>
        <w:pStyle w:val="Normal"/>
        <w:keepNext w:val="false"/>
        <w:keepLines w:val="false"/>
        <w:pageBreakBefore w:val="false"/>
        <w:widowControl w:val="false"/>
        <w:kinsoku w:val="true"/>
        <w:overflowPunct w:val="true"/>
        <w:autoSpaceDE w:val="true"/>
        <w:bidi w:val="0"/>
        <w:snapToGrid w:val="true"/>
        <w:spacing w:lineRule="exact" w:line="54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（二）按照规定接受年度质量信誉考核；</w:t>
      </w:r>
    </w:p>
    <w:p>
      <w:pPr>
        <w:pStyle w:val="Normal"/>
        <w:keepNext w:val="false"/>
        <w:keepLines w:val="false"/>
        <w:pageBreakBefore w:val="false"/>
        <w:widowControl w:val="false"/>
        <w:kinsoku w:val="true"/>
        <w:overflowPunct w:val="true"/>
        <w:autoSpaceDE w:val="true"/>
        <w:bidi w:val="0"/>
        <w:snapToGrid w:val="true"/>
        <w:spacing w:lineRule="exact" w:line="54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（三）随车携带车辆营运证件（使用总质量</w:t>
      </w:r>
      <w:r>
        <w:rPr>
          <w:rFonts w:eastAsia="仿宋_GB2312" w:cs="仿宋_GB2312" w:hint="eastAsia" w:ascii="仿宋_GB2312" w:hAnsi="仿宋_GB2312"/>
          <w:sz w:val="32"/>
          <w:szCs w:val="32"/>
        </w:rPr>
        <w:t>4500</w:t>
      </w:r>
      <w:r>
        <w:rPr>
          <w:rFonts w:ascii="仿宋_GB2312" w:hAnsi="仿宋_GB2312" w:cs="仿宋_GB2312" w:hint="eastAsia" w:eastAsia="仿宋_GB2312"/>
          <w:sz w:val="32"/>
          <w:szCs w:val="32"/>
        </w:rPr>
        <w:t>千克及以下普通货运车辆从事普通货运经营的除外）；</w:t>
      </w:r>
    </w:p>
    <w:p>
      <w:pPr>
        <w:pStyle w:val="Normal"/>
        <w:keepNext w:val="false"/>
        <w:keepLines w:val="false"/>
        <w:pageBreakBefore w:val="false"/>
        <w:widowControl w:val="false"/>
        <w:kinsoku w:val="true"/>
        <w:overflowPunct w:val="true"/>
        <w:autoSpaceDE w:val="true"/>
        <w:bidi w:val="0"/>
        <w:snapToGrid w:val="true"/>
        <w:spacing w:lineRule="exact" w:line="54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（四）按照国家有关规定持从业资格证件上岗作业；</w:t>
      </w:r>
    </w:p>
    <w:p>
      <w:pPr>
        <w:pStyle w:val="Normal"/>
        <w:keepNext w:val="false"/>
        <w:keepLines w:val="false"/>
        <w:pageBreakBefore w:val="false"/>
        <w:widowControl w:val="false"/>
        <w:kinsoku w:val="true"/>
        <w:overflowPunct w:val="true"/>
        <w:autoSpaceDE w:val="true"/>
        <w:bidi w:val="0"/>
        <w:snapToGrid w:val="true"/>
        <w:spacing w:lineRule="exact" w:line="54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（五）法律法规规定的其它事项。</w:t>
      </w:r>
    </w:p>
    <w:p>
      <w:pPr>
        <w:pStyle w:val="Normal"/>
        <w:keepNext w:val="false"/>
        <w:keepLines w:val="false"/>
        <w:pageBreakBefore w:val="false"/>
        <w:widowControl w:val="false"/>
        <w:kinsoku w:val="true"/>
        <w:overflowPunct w:val="true"/>
        <w:autoSpaceDE w:val="true"/>
        <w:bidi w:val="0"/>
        <w:snapToGrid w:val="true"/>
        <w:spacing w:lineRule="exact" w:line="54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p>
    <w:p>
      <w:pPr>
        <w:pStyle w:val="Normal"/>
        <w:ind w:firstLineChars="0" w:firstLine="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第三章  道路货运</w:t>
      </w:r>
    </w:p>
    <w:p>
      <w:pPr>
        <w:pStyle w:val="Normal"/>
        <w:keepNext w:val="false"/>
        <w:keepLines w:val="false"/>
        <w:pageBreakBefore w:val="false"/>
        <w:widowControl w:val="false"/>
        <w:kinsoku w:val="true"/>
        <w:overflowPunct w:val="true"/>
        <w:autoSpaceDE w:val="true"/>
        <w:bidi w:val="0"/>
        <w:snapToGrid w:val="true"/>
        <w:spacing w:lineRule="exact" w:line="54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2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从事道路货运的车辆（使用总质量</w:t>
      </w:r>
      <w:r>
        <w:rPr>
          <w:rFonts w:eastAsia="仿宋_GB2312" w:cs="仿宋_GB2312" w:hint="eastAsia" w:ascii="仿宋_GB2312" w:hAnsi="仿宋_GB2312"/>
          <w:sz w:val="32"/>
          <w:szCs w:val="32"/>
        </w:rPr>
        <w:t>4500</w:t>
      </w:r>
      <w:r>
        <w:rPr>
          <w:rFonts w:ascii="仿宋_GB2312" w:hAnsi="仿宋_GB2312" w:cs="仿宋_GB2312" w:hint="eastAsia" w:eastAsia="仿宋_GB2312"/>
          <w:sz w:val="32"/>
          <w:szCs w:val="32"/>
        </w:rPr>
        <w:t>千克及以下普通货运车辆从事普通货运经营的除外），应当具有道路运输管理机构配发的《道路运输证》。机动车辆应当按照规定进行综合性能检测，合格后方可营运。</w:t>
      </w:r>
    </w:p>
    <w:p>
      <w:pPr>
        <w:pStyle w:val="Normal"/>
        <w:keepNext w:val="false"/>
        <w:keepLines w:val="false"/>
        <w:pageBreakBefore w:val="false"/>
        <w:widowControl w:val="false"/>
        <w:kinsoku w:val="true"/>
        <w:overflowPunct w:val="true"/>
        <w:autoSpaceDE w:val="true"/>
        <w:bidi w:val="0"/>
        <w:snapToGrid w:val="true"/>
        <w:spacing w:lineRule="exact" w:line="52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道路货运经营者应当根据车型和综合技术条件承运货物，不得违反国家有关规定超限、超载运输。</w:t>
      </w:r>
    </w:p>
    <w:p>
      <w:pPr>
        <w:pStyle w:val="Normal"/>
        <w:keepNext w:val="false"/>
        <w:keepLines w:val="false"/>
        <w:pageBreakBefore w:val="false"/>
        <w:widowControl w:val="false"/>
        <w:kinsoku w:val="true"/>
        <w:overflowPunct w:val="true"/>
        <w:autoSpaceDE w:val="true"/>
        <w:bidi w:val="0"/>
        <w:snapToGrid w:val="true"/>
        <w:spacing w:lineRule="exact" w:line="52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重型货运车辆、牵引车、集装箱车辆、危险货物运输车辆应当安装安全监控装置并实时监控。</w:t>
      </w:r>
    </w:p>
    <w:p>
      <w:pPr>
        <w:pStyle w:val="Normal"/>
        <w:keepNext w:val="false"/>
        <w:keepLines w:val="false"/>
        <w:pageBreakBefore w:val="false"/>
        <w:widowControl w:val="false"/>
        <w:kinsoku w:val="true"/>
        <w:overflowPunct w:val="true"/>
        <w:autoSpaceDE w:val="true"/>
        <w:bidi w:val="0"/>
        <w:snapToGrid w:val="true"/>
        <w:spacing w:lineRule="exact" w:line="52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道路货运经营者新增危险货物运输车辆，必须到交通主管部门办理登记手续，并保证车辆符合安全要求。</w:t>
      </w:r>
    </w:p>
    <w:p>
      <w:pPr>
        <w:pStyle w:val="Normal"/>
        <w:keepNext w:val="false"/>
        <w:keepLines w:val="false"/>
        <w:pageBreakBefore w:val="false"/>
        <w:widowControl w:val="false"/>
        <w:kinsoku w:val="true"/>
        <w:overflowPunct w:val="true"/>
        <w:autoSpaceDE w:val="true"/>
        <w:bidi w:val="0"/>
        <w:snapToGrid w:val="true"/>
        <w:spacing w:lineRule="exact" w:line="52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道路货运经营者应当按照托运单承运，不得在普通货物中夹带危险、易腐、易溢漏货物；不得将性质相抵触的危险货物同车运输。</w:t>
      </w:r>
    </w:p>
    <w:p>
      <w:pPr>
        <w:pStyle w:val="Normal"/>
        <w:keepNext w:val="false"/>
        <w:keepLines w:val="false"/>
        <w:pageBreakBefore w:val="false"/>
        <w:widowControl w:val="false"/>
        <w:kinsoku w:val="true"/>
        <w:overflowPunct w:val="true"/>
        <w:autoSpaceDE w:val="true"/>
        <w:bidi w:val="0"/>
        <w:snapToGrid w:val="true"/>
        <w:spacing w:lineRule="exact" w:line="52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托运人不得将危险货物按照普通货物办理托运。</w:t>
      </w:r>
    </w:p>
    <w:p>
      <w:pPr>
        <w:pStyle w:val="Normal"/>
        <w:keepNext w:val="false"/>
        <w:keepLines w:val="false"/>
        <w:pageBreakBefore w:val="false"/>
        <w:widowControl w:val="false"/>
        <w:kinsoku w:val="true"/>
        <w:overflowPunct w:val="true"/>
        <w:autoSpaceDE w:val="true"/>
        <w:bidi w:val="0"/>
        <w:snapToGrid w:val="true"/>
        <w:spacing w:lineRule="exact" w:line="52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道路货运经营者应当按照国家规定，进行机动车辆二级维护和综合性能检测，保持车况良好、车容整洁、设施齐全，符合车辆技术标准。</w:t>
      </w:r>
    </w:p>
    <w:p>
      <w:pPr>
        <w:pStyle w:val="Normal"/>
        <w:keepNext w:val="false"/>
        <w:keepLines w:val="false"/>
        <w:pageBreakBefore w:val="false"/>
        <w:widowControl w:val="false"/>
        <w:kinsoku w:val="true"/>
        <w:overflowPunct w:val="true"/>
        <w:autoSpaceDE w:val="true"/>
        <w:bidi w:val="0"/>
        <w:snapToGrid w:val="true"/>
        <w:spacing w:lineRule="exact" w:line="52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运输易扬尘、易溢漏或者其它易污染环境货物的车辆，必须有必要的防护设施。</w:t>
      </w:r>
    </w:p>
    <w:p>
      <w:pPr>
        <w:pStyle w:val="Normal"/>
        <w:keepNext w:val="false"/>
        <w:keepLines w:val="false"/>
        <w:pageBreakBefore w:val="false"/>
        <w:widowControl w:val="false"/>
        <w:kinsoku w:val="true"/>
        <w:overflowPunct w:val="true"/>
        <w:autoSpaceDE w:val="true"/>
        <w:bidi w:val="0"/>
        <w:snapToGrid w:val="true"/>
        <w:spacing w:lineRule="exact" w:line="52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从事道路货运的车辆转籍，车辆所有者应当到道路运输管理机构办理转籍手续。</w:t>
      </w:r>
    </w:p>
    <w:p>
      <w:pPr>
        <w:pStyle w:val="Normal"/>
        <w:keepNext w:val="false"/>
        <w:keepLines w:val="false"/>
        <w:pageBreakBefore w:val="false"/>
        <w:widowControl w:val="false"/>
        <w:kinsoku w:val="true"/>
        <w:overflowPunct w:val="true"/>
        <w:autoSpaceDE w:val="true"/>
        <w:bidi w:val="0"/>
        <w:snapToGrid w:val="true"/>
        <w:spacing w:lineRule="exact" w:line="52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道路货运经营者设立分公司的，应当向交通主管部门备案。</w:t>
      </w:r>
    </w:p>
    <w:p>
      <w:pPr>
        <w:pStyle w:val="Normal"/>
        <w:keepNext w:val="false"/>
        <w:keepLines w:val="false"/>
        <w:pageBreakBefore w:val="false"/>
        <w:widowControl w:val="false"/>
        <w:kinsoku w:val="true"/>
        <w:overflowPunct w:val="true"/>
        <w:autoSpaceDE w:val="true"/>
        <w:bidi w:val="0"/>
        <w:snapToGrid w:val="true"/>
        <w:spacing w:lineRule="exact" w:line="52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外埠货运车辆，在本市从事经营活动超过</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日的，应当到道路运输管理机构登记。</w:t>
      </w:r>
    </w:p>
    <w:p>
      <w:pPr>
        <w:pStyle w:val="Normal"/>
        <w:keepNext w:val="false"/>
        <w:keepLines w:val="false"/>
        <w:pageBreakBefore w:val="false"/>
        <w:widowControl w:val="false"/>
        <w:kinsoku w:val="true"/>
        <w:overflowPunct w:val="true"/>
        <w:autoSpaceDE w:val="true"/>
        <w:bidi w:val="0"/>
        <w:snapToGrid w:val="true"/>
        <w:spacing w:lineRule="exact" w:line="52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道路货运承、托双方应当依法订立运输合同，并严格履行合同。</w:t>
      </w:r>
    </w:p>
    <w:p>
      <w:pPr>
        <w:pStyle w:val="Normal"/>
        <w:ind w:firstLineChars="0" w:firstLine="0" w:startChars="0" w:start="0" w:endChars="0" w:end="0"/>
        <w:jc w:val="center"/>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p>
    <w:p>
      <w:pPr>
        <w:pStyle w:val="Normal"/>
        <w:ind w:firstLineChars="0" w:firstLine="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第四章  货运服务</w:t>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jc w:val="center"/>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4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货运场（站）、营业性停车场（站）的设置和建设，应当符合城市规划和国家规定的建设标准。</w:t>
      </w:r>
    </w:p>
    <w:p>
      <w:pPr>
        <w:pStyle w:val="Normal"/>
        <w:keepNext w:val="false"/>
        <w:keepLines w:val="false"/>
        <w:pageBreakBefore w:val="false"/>
        <w:widowControl w:val="false"/>
        <w:kinsoku w:val="true"/>
        <w:overflowPunct w:val="true"/>
        <w:autoSpaceDE w:val="true"/>
        <w:bidi w:val="0"/>
        <w:snapToGrid w:val="true"/>
        <w:spacing w:lineRule="exact" w:line="54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营业性货运停车场，必须设置消防器材、安全标志，保证车辆出入方便。</w:t>
      </w:r>
    </w:p>
    <w:p>
      <w:pPr>
        <w:pStyle w:val="Normal"/>
        <w:keepNext w:val="false"/>
        <w:keepLines w:val="false"/>
        <w:pageBreakBefore w:val="false"/>
        <w:widowControl w:val="false"/>
        <w:kinsoku w:val="true"/>
        <w:overflowPunct w:val="true"/>
        <w:autoSpaceDE w:val="true"/>
        <w:bidi w:val="0"/>
        <w:snapToGrid w:val="true"/>
        <w:spacing w:lineRule="exact" w:line="54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载有危险货物的运输车辆，必须按照规定到指定地点停放。</w:t>
      </w:r>
    </w:p>
    <w:p>
      <w:pPr>
        <w:pStyle w:val="Normal"/>
        <w:keepNext w:val="false"/>
        <w:keepLines w:val="false"/>
        <w:pageBreakBefore w:val="false"/>
        <w:widowControl w:val="false"/>
        <w:kinsoku w:val="true"/>
        <w:overflowPunct w:val="true"/>
        <w:autoSpaceDE w:val="true"/>
        <w:bidi w:val="0"/>
        <w:snapToGrid w:val="true"/>
        <w:spacing w:lineRule="exact" w:line="54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货运场（站）经营者不得为无经营手续或者经营手续不全的货运代理、货运信息、货运配载、搬运装卸等经营者提供货运服务。</w:t>
      </w:r>
    </w:p>
    <w:p>
      <w:pPr>
        <w:pStyle w:val="Normal"/>
        <w:keepNext w:val="false"/>
        <w:keepLines w:val="false"/>
        <w:pageBreakBefore w:val="false"/>
        <w:widowControl w:val="false"/>
        <w:kinsoku w:val="true"/>
        <w:overflowPunct w:val="true"/>
        <w:autoSpaceDE w:val="true"/>
        <w:bidi w:val="0"/>
        <w:snapToGrid w:val="true"/>
        <w:spacing w:lineRule="exact" w:line="54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从事搬运装卸的经营者应当按照交通主管部门核定的范围作业，遵守安全操作规程，保证作业质量。</w:t>
      </w:r>
    </w:p>
    <w:p>
      <w:pPr>
        <w:pStyle w:val="Normal"/>
        <w:keepNext w:val="false"/>
        <w:keepLines w:val="false"/>
        <w:pageBreakBefore w:val="false"/>
        <w:widowControl w:val="false"/>
        <w:kinsoku w:val="true"/>
        <w:overflowPunct w:val="true"/>
        <w:autoSpaceDE w:val="true"/>
        <w:bidi w:val="0"/>
        <w:snapToGrid w:val="true"/>
        <w:spacing w:lineRule="exact" w:line="54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危险货物、大型特种物件运输的搬运、装卸，应当备有专用工具和防护设施。</w:t>
      </w:r>
    </w:p>
    <w:p>
      <w:pPr>
        <w:pStyle w:val="Normal"/>
        <w:keepNext w:val="false"/>
        <w:keepLines w:val="false"/>
        <w:pageBreakBefore w:val="false"/>
        <w:widowControl w:val="false"/>
        <w:kinsoku w:val="true"/>
        <w:overflowPunct w:val="true"/>
        <w:autoSpaceDE w:val="true"/>
        <w:bidi w:val="0"/>
        <w:snapToGrid w:val="true"/>
        <w:spacing w:lineRule="exact" w:line="54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货运信息服务单位，提供的信息必须真实、准确、可靠。各类货运信息服务单位应当与市货运信息服务中心联网，市货运信息服务中心应当为各类货运信息服务单位做好服务。</w:t>
      </w:r>
    </w:p>
    <w:p>
      <w:pPr>
        <w:pStyle w:val="Normal"/>
        <w:keepNext w:val="false"/>
        <w:keepLines w:val="false"/>
        <w:pageBreakBefore w:val="false"/>
        <w:widowControl w:val="false"/>
        <w:kinsoku w:val="true"/>
        <w:overflowPunct w:val="true"/>
        <w:autoSpaceDE w:val="true"/>
        <w:bidi w:val="0"/>
        <w:snapToGrid w:val="true"/>
        <w:spacing w:lineRule="exact" w:line="54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从事道路货运服务的经营者受理或者经营限运、凭证运输货物业务时，承、托双方的有关手续、证照必须齐全、有效。</w:t>
      </w:r>
    </w:p>
    <w:p>
      <w:pPr>
        <w:pStyle w:val="Normal"/>
        <w:keepNext w:val="false"/>
        <w:keepLines w:val="false"/>
        <w:pageBreakBefore w:val="false"/>
        <w:widowControl w:val="false"/>
        <w:kinsoku w:val="true"/>
        <w:overflowPunct w:val="true"/>
        <w:autoSpaceDE w:val="true"/>
        <w:bidi w:val="0"/>
        <w:snapToGrid w:val="true"/>
        <w:spacing w:lineRule="exact" w:line="54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未经市交通主管部门批准，货运服务经营者不得受理危险货物的运输业务。</w:t>
      </w:r>
    </w:p>
    <w:p>
      <w:pPr>
        <w:pStyle w:val="Normal"/>
        <w:keepNext w:val="false"/>
        <w:keepLines w:val="false"/>
        <w:pageBreakBefore w:val="false"/>
        <w:widowControl w:val="false"/>
        <w:kinsoku w:val="true"/>
        <w:overflowPunct w:val="true"/>
        <w:autoSpaceDE w:val="true"/>
        <w:bidi w:val="0"/>
        <w:snapToGrid w:val="true"/>
        <w:spacing w:lineRule="exact" w:line="54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货运服务经营者不得为无《道路运输证》的车辆提供配载服务（使用总质量</w:t>
      </w:r>
      <w:r>
        <w:rPr>
          <w:rFonts w:eastAsia="仿宋_GB2312" w:cs="仿宋_GB2312" w:hint="eastAsia" w:ascii="仿宋_GB2312" w:hAnsi="仿宋_GB2312"/>
          <w:sz w:val="32"/>
          <w:szCs w:val="32"/>
        </w:rPr>
        <w:t>4500</w:t>
      </w:r>
      <w:r>
        <w:rPr>
          <w:rFonts w:ascii="仿宋_GB2312" w:hAnsi="仿宋_GB2312" w:cs="仿宋_GB2312" w:hint="eastAsia" w:eastAsia="仿宋_GB2312"/>
          <w:sz w:val="32"/>
          <w:szCs w:val="32"/>
        </w:rPr>
        <w:t>千克及以下普通货运车辆从事普通货运经营的除外）。</w:t>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jc w:val="center"/>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p>
    <w:p>
      <w:pPr>
        <w:pStyle w:val="Normal"/>
        <w:ind w:firstLineChars="0" w:firstLine="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第五章  监督管理</w:t>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jc w:val="center"/>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4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各级交通主管部门应当对从事道路货运、货运服务的经营者和从业人员的经营资格、经营行为等有关情况实施监督检查，纠正和处理违法行为，依法保护经营者和从业人员的合法权益。</w:t>
      </w:r>
    </w:p>
    <w:p>
      <w:pPr>
        <w:pStyle w:val="Normal"/>
        <w:keepNext w:val="false"/>
        <w:keepLines w:val="false"/>
        <w:pageBreakBefore w:val="false"/>
        <w:widowControl w:val="false"/>
        <w:kinsoku w:val="true"/>
        <w:overflowPunct w:val="true"/>
        <w:autoSpaceDE w:val="true"/>
        <w:bidi w:val="0"/>
        <w:snapToGrid w:val="true"/>
        <w:spacing w:lineRule="exact" w:line="54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交通行政管理人员应当忠于职守、秉公办事、文明执法，在进行监督检查时应当出示执法证件。</w:t>
      </w:r>
    </w:p>
    <w:p>
      <w:pPr>
        <w:pStyle w:val="Normal"/>
        <w:keepNext w:val="false"/>
        <w:keepLines w:val="false"/>
        <w:pageBreakBefore w:val="false"/>
        <w:widowControl w:val="false"/>
        <w:kinsoku w:val="true"/>
        <w:overflowPunct w:val="true"/>
        <w:autoSpaceDE w:val="true"/>
        <w:bidi w:val="0"/>
        <w:snapToGrid w:val="true"/>
        <w:spacing w:lineRule="exact" w:line="54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运输稽查专用车辆应当装置统一的标志和示警灯。</w:t>
      </w:r>
    </w:p>
    <w:p>
      <w:pPr>
        <w:pStyle w:val="Normal"/>
        <w:keepNext w:val="false"/>
        <w:keepLines w:val="false"/>
        <w:pageBreakBefore w:val="false"/>
        <w:widowControl w:val="false"/>
        <w:kinsoku w:val="true"/>
        <w:overflowPunct w:val="true"/>
        <w:autoSpaceDE w:val="true"/>
        <w:bidi w:val="0"/>
        <w:snapToGrid w:val="true"/>
        <w:spacing w:lineRule="exact" w:line="54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交通行政管理人员不得利用行政手段为道路货运经营者、货运服务经营者谋取不当利益。</w:t>
      </w:r>
    </w:p>
    <w:p>
      <w:pPr>
        <w:pStyle w:val="Normal"/>
        <w:keepNext w:val="false"/>
        <w:keepLines w:val="false"/>
        <w:pageBreakBefore w:val="false"/>
        <w:widowControl w:val="false"/>
        <w:kinsoku w:val="true"/>
        <w:overflowPunct w:val="true"/>
        <w:autoSpaceDE w:val="true"/>
        <w:bidi w:val="0"/>
        <w:snapToGrid w:val="true"/>
        <w:spacing w:lineRule="exact" w:line="54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交通主管部门及其执法人员在执行职务时，应当建立投诉举报制度，公开投诉举报电话、通信地址或者电子信箱，依法受理并及时查处投诉举报的具体行政执法行为，自觉接受社会和公民的监督。</w:t>
      </w:r>
    </w:p>
    <w:p>
      <w:pPr>
        <w:pStyle w:val="Normal"/>
        <w:ind w:firstLineChars="0" w:firstLine="0" w:startChars="0" w:start="0" w:endChars="0" w:end="0"/>
        <w:jc w:val="center"/>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p>
    <w:p>
      <w:pPr>
        <w:pStyle w:val="Normal"/>
        <w:ind w:firstLineChars="0" w:firstLine="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2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违反本条例第六条规定，无《经营许可证》或者持无效《经营许可证》擅自从事道路货运经营的，由市或者区、县（市）道路运输管理机构责令停止经营，有违法所得的，没收违法所得，处违法所得</w:t>
      </w: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倍以上</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倍以下的罚款，没有违法所得或者违法所得不足</w:t>
      </w: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万元的，处</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2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违反本条例第九条规定，未按照规定将公布的收费项目和收费标准备案的，由市或者区、县（市）道路运输管理机构责令改正。</w:t>
      </w:r>
    </w:p>
    <w:p>
      <w:pPr>
        <w:pStyle w:val="Normal"/>
        <w:keepNext w:val="false"/>
        <w:keepLines w:val="false"/>
        <w:pageBreakBefore w:val="false"/>
        <w:widowControl w:val="false"/>
        <w:kinsoku w:val="true"/>
        <w:overflowPunct w:val="true"/>
        <w:autoSpaceDE w:val="true"/>
        <w:bidi w:val="0"/>
        <w:snapToGrid w:val="true"/>
        <w:spacing w:lineRule="exact" w:line="52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对不公布收费项目和收费标准的货运场（站）经营者，可以处</w:t>
      </w:r>
      <w:r>
        <w:rPr>
          <w:rFonts w:eastAsia="仿宋_GB2312" w:cs="仿宋_GB2312" w:hint="eastAsia" w:ascii="仿宋_GB2312" w:hAnsi="仿宋_GB2312"/>
          <w:sz w:val="32"/>
          <w:szCs w:val="32"/>
        </w:rPr>
        <w:t>3000</w:t>
      </w:r>
      <w:r>
        <w:rPr>
          <w:rFonts w:ascii="仿宋_GB2312" w:hAnsi="仿宋_GB2312" w:cs="仿宋_GB2312" w:hint="eastAsia" w:eastAsia="仿宋_GB2312"/>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2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违反本条例第十条第三项规定，未随车携带《道路运输证》从事经营活动的，由市或者区、县（市）道路运输管理机构责令改正，并处</w:t>
      </w:r>
      <w:r>
        <w:rPr>
          <w:rFonts w:eastAsia="仿宋_GB2312" w:cs="仿宋_GB2312" w:hint="eastAsia" w:ascii="仿宋_GB2312" w:hAnsi="仿宋_GB2312"/>
          <w:sz w:val="32"/>
          <w:szCs w:val="32"/>
        </w:rPr>
        <w:t>100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200</w:t>
      </w:r>
      <w:r>
        <w:rPr>
          <w:rFonts w:ascii="仿宋_GB2312" w:hAnsi="仿宋_GB2312" w:cs="仿宋_GB2312" w:hint="eastAsia" w:eastAsia="仿宋_GB2312"/>
          <w:sz w:val="32"/>
          <w:szCs w:val="32"/>
        </w:rPr>
        <w:t>元以下罚款。</w:t>
      </w:r>
    </w:p>
    <w:p>
      <w:pPr>
        <w:pStyle w:val="Normal"/>
        <w:keepNext w:val="false"/>
        <w:keepLines w:val="false"/>
        <w:pageBreakBefore w:val="false"/>
        <w:widowControl w:val="false"/>
        <w:kinsoku w:val="true"/>
        <w:overflowPunct w:val="true"/>
        <w:autoSpaceDE w:val="true"/>
        <w:bidi w:val="0"/>
        <w:snapToGrid w:val="true"/>
        <w:spacing w:lineRule="exact" w:line="52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第三十二条</w:t>
      </w:r>
      <w:r>
        <w:rPr>
          <w:rFonts w:ascii="仿宋_GB2312" w:hAnsi="仿宋_GB2312" w:cs="仿宋_GB2312" w:hint="eastAsia" w:eastAsia="仿宋_GB2312"/>
          <w:sz w:val="32"/>
          <w:szCs w:val="32"/>
        </w:rPr>
        <w:t xml:space="preserve">  违反本条例第十一条规定，由市或者区、县（市）道路运输管理机构责令停止经营，并按照下列规定处罚：</w:t>
      </w:r>
    </w:p>
    <w:p>
      <w:pPr>
        <w:pStyle w:val="Normal"/>
        <w:keepNext w:val="false"/>
        <w:keepLines w:val="false"/>
        <w:pageBreakBefore w:val="false"/>
        <w:widowControl w:val="false"/>
        <w:kinsoku w:val="true"/>
        <w:overflowPunct w:val="true"/>
        <w:autoSpaceDE w:val="true"/>
        <w:bidi w:val="0"/>
        <w:snapToGrid w:val="true"/>
        <w:spacing w:lineRule="exact" w:line="52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（一）无《道路运输证》从事除危险货物运输以外的道路货运的，有违法所得的，没收违法所得，处违法所得</w:t>
      </w: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倍以上</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倍以下的罚款，没有违法所得或者违法所得不足两万元的，处</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2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（二）无《道路运输证》从事危险货物运输的，有违法所得的，没收违法所得，处违法所得</w:t>
      </w: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倍以上</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倍以下的罚款，没有违法所得或者违法所得不足</w:t>
      </w: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万元的，处</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2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违反本条例第十五条规定，运输易溢漏或者其它易污染环境货物的车辆，无防护设施的，由市或者区、县（市）道路运输管理机构责令改正，处</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3000</w:t>
      </w:r>
      <w:r>
        <w:rPr>
          <w:rFonts w:ascii="仿宋_GB2312" w:hAnsi="仿宋_GB2312" w:cs="仿宋_GB2312" w:hint="eastAsia" w:eastAsia="仿宋_GB2312"/>
          <w:sz w:val="32"/>
          <w:szCs w:val="32"/>
        </w:rPr>
        <w:t>元以下罚款。</w:t>
      </w:r>
    </w:p>
    <w:p>
      <w:pPr>
        <w:pStyle w:val="Normal"/>
        <w:keepNext w:val="false"/>
        <w:keepLines w:val="false"/>
        <w:pageBreakBefore w:val="false"/>
        <w:widowControl w:val="false"/>
        <w:kinsoku w:val="true"/>
        <w:overflowPunct w:val="true"/>
        <w:autoSpaceDE w:val="true"/>
        <w:bidi w:val="0"/>
        <w:snapToGrid w:val="true"/>
        <w:spacing w:lineRule="exact" w:line="52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第三十四条</w:t>
      </w:r>
      <w:r>
        <w:rPr>
          <w:rFonts w:ascii="仿宋_GB2312" w:hAnsi="仿宋_GB2312" w:cs="仿宋_GB2312" w:hint="eastAsia" w:eastAsia="仿宋_GB2312"/>
          <w:sz w:val="32"/>
          <w:szCs w:val="32"/>
        </w:rPr>
        <w:t xml:space="preserve">  当事人对行政处罚决定不服的，可以依法申请行政复议或者提起行政诉讼；逾期不申请行政复议也不提起行政诉讼又不履行行政处罚决定的，由作出处罚决定的行政机关申请人民法院强制执行。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2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第三十五条</w:t>
      </w:r>
      <w:r>
        <w:rPr>
          <w:rFonts w:ascii="仿宋_GB2312" w:hAnsi="仿宋_GB2312" w:cs="仿宋_GB2312" w:hint="eastAsia" w:eastAsia="仿宋_GB2312"/>
          <w:sz w:val="32"/>
          <w:szCs w:val="32"/>
        </w:rPr>
        <w:t xml:space="preserve">  交通行政管理人员在执行职务中滥用职权、徇私舞弊、玩忽职守的，由所在单位或者上级机关给予行政处分；构成犯罪的，依法追究刑事责任。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p>
    <w:p>
      <w:pPr>
        <w:pStyle w:val="Normal"/>
        <w:ind w:firstLineChars="0" w:firstLine="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第七章   附则</w:t>
      </w:r>
    </w:p>
    <w:p>
      <w:pPr>
        <w:pStyle w:val="Normal"/>
        <w:ind w:firstLineChars="0" w:firstLine="0" w:startChars="0" w:start="0" w:endChars="0" w:end="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第三十六条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2007</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15</w:t>
      </w:r>
      <w:r>
        <w:rPr>
          <w:rFonts w:ascii="仿宋_GB2312" w:hAnsi="仿宋_GB2312" w:cs="仿宋_GB2312" w:hint="eastAsia" w:eastAsia="仿宋_GB2312"/>
          <w:sz w:val="32"/>
          <w:szCs w:val="32"/>
        </w:rPr>
        <w:t>日起施行。</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587" w:right="1474" w:gutter="0" w:header="0" w:top="2097" w:footer="992" w:bottom="1417"/>
      <w:pgNumType w:fmt="decimal"/>
      <w:formProt w:val="false"/>
      <w:textDirection w:val="lrTb"/>
      <w:docGrid w:type="linesAndChars" w:linePitch="60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Liberation Sans">
    <w:altName w:val="Arial"/>
    <w:charset w:val="01" w:characterSet="utf-8"/>
    <w:family w:val="swiss"/>
    <w:pitch w:val="variable"/>
  </w:font>
  <w:font w:name="华文中宋">
    <w:charset w:val="86"/>
    <w:family w:val="auto"/>
    <w:pitch w:val="default"/>
  </w:font>
  <w:font w:name="楷体_GB2312">
    <w:altName w:val="楷体"/>
    <w:charset w:val="86"/>
    <w:family w:val="auto"/>
    <w:pitch w:val="default"/>
  </w:font>
  <w:font w:name="黑体">
    <w:charset w:val="86"/>
    <w:family w:val="auto"/>
    <w:pitch w:val="default"/>
  </w:font>
  <w:font w:name="仿宋_GB2312">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86360" cy="252730"/>
              <wp:effectExtent l="0" t="0" r="0" b="0"/>
              <wp:wrapNone/>
              <wp:docPr id="1" name="Frame1"/>
              <a:graphic xmlns:a="http://schemas.openxmlformats.org/drawingml/2006/main">
                <a:graphicData uri="http://schemas.microsoft.com/office/word/2010/wordprocessingShape">
                  <wps:wsp>
                    <wps:cNvSpPr txBox="1"/>
                    <wps:spPr>
                      <a:xfrm>
                        <a:off x="0" y="0"/>
                        <a:ext cx="86360" cy="252730"/>
                      </a:xfrm>
                      <a:prstGeom prst="rect"/>
                      <a:solidFill>
                        <a:srgbClr val="FFFFFF">
                          <a:alpha val="0"/>
                        </a:srgbClr>
                      </a:solidFill>
                    </wps:spPr>
                    <wps:txbx>
                      <w:txbxContent>
                        <w:p>
                          <w:pPr>
                            <w:pStyle w:val="Normal"/>
                            <w:snapToGrid w:val="false"/>
                            <w:rPr>
                              <w:rFonts w:ascii="仿宋" w:hAnsi="仿宋" w:eastAsia="仿宋" w:cs="仿宋" w:hint="eastAsia"/>
                              <w:sz w:val="28"/>
                              <w:szCs w:val="28"/>
                            </w:rPr>
                          </w:pPr>
                          <w:r>
                            <w:rPr>
                              <w:rFonts w:eastAsia="仿宋" w:cs="仿宋" w:hint="eastAsia" w:ascii="仿宋" w:hAnsi="仿宋"/>
                              <w:sz w:val="28"/>
                              <w:szCs w:val="28"/>
                            </w:rPr>
                            <w:fldChar w:fldCharType="begin"/>
                          </w:r>
                          <w:r>
                            <w:rPr>
                              <w:rFonts w:eastAsia="仿宋" w:cs="仿宋" w:hint="eastAsia" w:ascii="仿宋" w:hAnsi="仿宋"/>
                              <w:sz w:val="28"/>
                              <w:szCs w:val="28"/>
                            </w:rPr>
                            <w:instrText xml:space="preserve"> PAGE </w:instrText>
                          </w:r>
                          <w:r>
                            <w:rPr>
                              <w:rFonts w:eastAsia="仿宋" w:cs="仿宋" w:hint="eastAsia" w:ascii="仿宋" w:hAnsi="仿宋"/>
                              <w:sz w:val="28"/>
                              <w:szCs w:val="28"/>
                            </w:rPr>
                            <w:fldChar w:fldCharType="separate"/>
                          </w:r>
                          <w:r>
                            <w:rPr>
                              <w:rFonts w:eastAsia="仿宋" w:cs="仿宋" w:hint="eastAsia" w:ascii="仿宋" w:hAnsi="仿宋"/>
                              <w:sz w:val="28"/>
                              <w:szCs w:val="28"/>
                            </w:rPr>
                            <w:t>9</w:t>
                          </w:r>
                          <w:r>
                            <w:rPr>
                              <w:rFonts w:eastAsia="仿宋" w:cs="仿宋" w:hint="eastAsia" w:ascii="仿宋" w:hAnsi="仿宋"/>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6.8pt;height:19.9pt;mso-wrap-distance-left:9.05pt;mso-wrap-distance-right:0pt;mso-wrap-distance-top:0pt;mso-wrap-distance-bottom:0pt;margin-top:0pt;mso-position-vertical-relative:text;margin-left:435.45pt;mso-position-horizontal:outside;mso-position-horizontal-relative:margin">
              <v:fill opacity="0f"/>
              <v:textbox inset="0.000694444444444445in,0.000694444444444445in,0.000694444444444445in,0.000694444444444445in">
                <w:txbxContent>
                  <w:p>
                    <w:pPr>
                      <w:pStyle w:val="Normal"/>
                      <w:snapToGrid w:val="false"/>
                      <w:rPr>
                        <w:rFonts w:ascii="仿宋" w:hAnsi="仿宋" w:eastAsia="仿宋" w:cs="仿宋" w:hint="eastAsia"/>
                        <w:sz w:val="28"/>
                        <w:szCs w:val="28"/>
                      </w:rPr>
                    </w:pPr>
                    <w:r>
                      <w:rPr>
                        <w:rFonts w:eastAsia="仿宋" w:cs="仿宋" w:hint="eastAsia" w:ascii="仿宋" w:hAnsi="仿宋"/>
                        <w:sz w:val="28"/>
                        <w:szCs w:val="28"/>
                      </w:rPr>
                      <w:fldChar w:fldCharType="begin"/>
                    </w:r>
                    <w:r>
                      <w:rPr>
                        <w:rFonts w:eastAsia="仿宋" w:cs="仿宋" w:hint="eastAsia" w:ascii="仿宋" w:hAnsi="仿宋"/>
                        <w:sz w:val="28"/>
                        <w:szCs w:val="28"/>
                      </w:rPr>
                      <w:instrText xml:space="preserve"> PAGE </w:instrText>
                    </w:r>
                    <w:r>
                      <w:rPr>
                        <w:rFonts w:eastAsia="仿宋" w:cs="仿宋" w:hint="eastAsia" w:ascii="仿宋" w:hAnsi="仿宋"/>
                        <w:sz w:val="28"/>
                        <w:szCs w:val="28"/>
                      </w:rPr>
                      <w:fldChar w:fldCharType="separate"/>
                    </w:r>
                    <w:r>
                      <w:rPr>
                        <w:rFonts w:eastAsia="仿宋" w:cs="仿宋" w:hint="eastAsia" w:ascii="仿宋" w:hAnsi="仿宋"/>
                        <w:sz w:val="28"/>
                        <w:szCs w:val="28"/>
                      </w:rPr>
                      <w:t>9</w:t>
                    </w:r>
                    <w:r>
                      <w:rPr>
                        <w:rFonts w:eastAsia="仿宋" w:cs="仿宋" w:hint="eastAsia" w:ascii="仿宋" w:hAnsi="仿宋"/>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pPr>
      <w:widowControl/>
      <w:bidi w:val="0"/>
    </w:pPr>
    <w:rPr>
      <w:rFonts w:ascii="Times New Roman" w:hAnsi="Times New Roman" w:eastAsia="华文中宋" w:cs="Times New Roman"/>
      <w:color w:val="auto"/>
      <w:sz w:val="44"/>
      <w:szCs w:val="20"/>
      <w:lang w:val="en-US" w:eastAsia="zh-CN" w:bidi="hi-I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2019-08-14T14:55:58Z</dcterms:created>
  <dc:creator>丁浩</dc:creator>
  <dc:description/>
  <dc:language>en-US</dc:language>
  <cp:lastModifiedBy>lenovo</cp:lastModifiedBy>
  <dcterms:modified xsi:type="dcterms:W3CDTF">2020-01-08T13:36:19Z</dcterms:modified>
  <cp:revision>1</cp:revision>
  <dc:subject/>
  <dc:title>沈阳市道路货运市场管理条例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