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60"/>
        <w:jc w:val="center"/>
        <w:rPr>
          <w:rFonts w:ascii="宋体" w:hAnsi="宋体" w:cs="宋体"/>
          <w:color w:val="000000"/>
          <w:sz w:val="44"/>
          <w:szCs w:val="44"/>
        </w:rPr>
      </w:pPr>
      <w:r>
        <w:rPr>
          <w:rFonts w:ascii="宋体" w:hAnsi="宋体" w:cs="宋体" w:hint="eastAsia"/>
          <w:color w:val="000000"/>
          <w:sz w:val="44"/>
          <w:szCs w:val="44"/>
        </w:rPr>
        <w:t>辽宁省实施《中华人民共和国工会法》规定</w:t>
      </w:r>
    </w:p>
    <w:p>
      <w:pPr>
        <w:pStyle w:val="Normal"/>
        <w:spacing w:lineRule="exact" w:line="560"/>
        <w:ind w:firstLineChars="200" w:startChars="0" w:start="0" w:endChars="0" w:end="0"/>
        <w:rPr>
          <w:rFonts w:ascii="仿宋" w:hAnsi="仿宋" w:eastAsia="仿宋" w:cs="仿宋"/>
          <w:color w:val="000000"/>
          <w:sz w:val="32"/>
          <w:szCs w:val="32"/>
        </w:rPr>
      </w:pPr>
      <w:r>
        <w:rPr>
          <w:rFonts w:eastAsia="仿宋" w:cs="仿宋" w:ascii="仿宋" w:hAnsi="仿宋"/>
          <w:color w:val="000000"/>
          <w:sz w:val="32"/>
          <w:szCs w:val="32"/>
        </w:rPr>
      </w:r>
    </w:p>
    <w:p>
      <w:pPr>
        <w:pStyle w:val="TOC1"/>
        <w:rPr>
          <w:color w:val="000000"/>
        </w:rPr>
      </w:pPr>
      <w:r>
        <w:rPr>
          <w:rFonts w:hint="eastAsia"/>
          <w:color w:val="000000"/>
        </w:rPr>
        <w:t>（</w:t>
      </w:r>
      <w:r>
        <w:rPr>
          <w:rFonts w:hint="eastAsia"/>
          <w:color w:val="000000"/>
        </w:rPr>
        <w:t>2002</w:t>
      </w:r>
      <w:r>
        <w:rPr>
          <w:rFonts w:hint="eastAsia"/>
          <w:color w:val="000000"/>
        </w:rPr>
        <w:t>年</w:t>
      </w:r>
      <w:r>
        <w:rPr>
          <w:rFonts w:hint="eastAsia"/>
          <w:color w:val="000000"/>
        </w:rPr>
        <w:t>9</w:t>
      </w:r>
      <w:r>
        <w:rPr>
          <w:rFonts w:hint="eastAsia"/>
          <w:color w:val="000000"/>
        </w:rPr>
        <w:t>月</w:t>
      </w:r>
      <w:r>
        <w:rPr>
          <w:rFonts w:hint="eastAsia"/>
          <w:color w:val="000000"/>
        </w:rPr>
        <w:t>26</w:t>
      </w:r>
      <w:r>
        <w:rPr>
          <w:rFonts w:hint="eastAsia"/>
          <w:color w:val="000000"/>
        </w:rPr>
        <w:t>日辽宁省第九届人民代表大会常务委员会第三十二次会议通过  根据</w:t>
      </w:r>
      <w:r>
        <w:rPr>
          <w:rFonts w:hint="eastAsia"/>
          <w:color w:val="000000"/>
        </w:rPr>
        <w:t>2006</w:t>
      </w:r>
      <w:r>
        <w:rPr>
          <w:rFonts w:hint="eastAsia"/>
          <w:color w:val="000000"/>
        </w:rPr>
        <w:t>年</w:t>
      </w:r>
      <w:r>
        <w:rPr>
          <w:rFonts w:hint="eastAsia"/>
          <w:color w:val="000000"/>
        </w:rPr>
        <w:t>1</w:t>
      </w:r>
      <w:r>
        <w:rPr>
          <w:rFonts w:hint="eastAsia"/>
          <w:color w:val="000000"/>
        </w:rPr>
        <w:t>月</w:t>
      </w:r>
      <w:r>
        <w:rPr>
          <w:rFonts w:hint="eastAsia"/>
          <w:color w:val="000000"/>
        </w:rPr>
        <w:t>13</w:t>
      </w:r>
      <w:r>
        <w:rPr>
          <w:rFonts w:hint="eastAsia"/>
          <w:color w:val="000000"/>
        </w:rPr>
        <w:t>日辽宁省第十届人民代表大会常务委员会第二十三次会议关于修改《辽宁省实施〈中华人民共和国工会法〉若干规定》的决定第一次修正  根据</w:t>
      </w:r>
      <w:r>
        <w:rPr>
          <w:rFonts w:hint="eastAsia"/>
          <w:color w:val="000000"/>
        </w:rPr>
        <w:t>2019</w:t>
      </w:r>
      <w:r>
        <w:rPr>
          <w:rFonts w:hint="eastAsia"/>
          <w:color w:val="000000"/>
        </w:rPr>
        <w:t>年</w:t>
      </w:r>
      <w:r>
        <w:rPr>
          <w:rFonts w:hint="eastAsia"/>
          <w:color w:val="000000"/>
        </w:rPr>
        <w:t>9</w:t>
      </w:r>
      <w:r>
        <w:rPr>
          <w:rFonts w:hint="eastAsia"/>
          <w:color w:val="000000"/>
        </w:rPr>
        <w:t>月</w:t>
      </w:r>
      <w:r>
        <w:rPr>
          <w:rFonts w:hint="eastAsia"/>
          <w:color w:val="000000"/>
        </w:rPr>
        <w:t>27</w:t>
      </w:r>
      <w:r>
        <w:rPr>
          <w:rFonts w:hint="eastAsia"/>
          <w:color w:val="000000"/>
        </w:rPr>
        <w:t>日辽宁省第十三届人民代表大会常务委员会第十三次会议《关于修改〈辽宁省石油勘探开发环境保护条例〉等</w:t>
      </w:r>
      <w:r>
        <w:rPr>
          <w:rFonts w:hint="eastAsia"/>
          <w:color w:val="000000"/>
        </w:rPr>
        <w:t>8</w:t>
      </w:r>
      <w:r>
        <w:rPr>
          <w:rFonts w:hint="eastAsia"/>
          <w:color w:val="000000"/>
        </w:rPr>
        <w:t>件地方性法规的决定》第二次修正  根据</w:t>
      </w:r>
      <w:r>
        <w:rPr>
          <w:rFonts w:hint="eastAsia"/>
          <w:color w:val="000000"/>
        </w:rPr>
        <w:t>2020</w:t>
      </w:r>
      <w:r>
        <w:rPr>
          <w:rFonts w:hint="eastAsia"/>
          <w:color w:val="000000"/>
        </w:rPr>
        <w:t>年</w:t>
      </w:r>
      <w:r>
        <w:rPr>
          <w:rFonts w:hint="eastAsia"/>
          <w:color w:val="000000"/>
        </w:rPr>
        <w:t>11</w:t>
      </w:r>
      <w:r>
        <w:rPr>
          <w:rFonts w:hint="eastAsia"/>
          <w:color w:val="000000"/>
        </w:rPr>
        <w:t>月</w:t>
      </w:r>
      <w:r>
        <w:rPr>
          <w:rFonts w:hint="eastAsia"/>
          <w:color w:val="000000"/>
        </w:rPr>
        <w:t>24</w:t>
      </w:r>
      <w:r>
        <w:rPr>
          <w:rFonts w:hint="eastAsia"/>
          <w:color w:val="000000"/>
        </w:rPr>
        <w:t>日辽宁省第十三届人民代表大会常务委员会第二十三次会议《关于修改〈辽宁省城镇房地产交易管理条例〉等</w:t>
      </w:r>
      <w:r>
        <w:rPr>
          <w:rFonts w:hint="eastAsia"/>
          <w:color w:val="000000"/>
        </w:rPr>
        <w:t>12</w:t>
      </w:r>
      <w:r>
        <w:rPr>
          <w:rFonts w:hint="eastAsia"/>
          <w:color w:val="000000"/>
        </w:rPr>
        <w:t>件地方性法规的决定》第三次修正）</w:t>
      </w:r>
    </w:p>
    <w:p>
      <w:pPr>
        <w:pStyle w:val="Normal"/>
        <w:spacing w:lineRule="exact" w:line="560"/>
        <w:ind w:firstLineChars="200" w:startChars="0" w:start="0" w:endChars="0" w:end="0"/>
        <w:rPr>
          <w:rFonts w:ascii="仿宋" w:hAnsi="仿宋" w:eastAsia="仿宋" w:cs="仿宋"/>
          <w:color w:val="000000"/>
          <w:sz w:val="32"/>
          <w:szCs w:val="32"/>
        </w:rPr>
      </w:pPr>
      <w:r>
        <w:rPr>
          <w:rFonts w:eastAsia="仿宋" w:cs="仿宋" w:ascii="仿宋" w:hAnsi="仿宋"/>
          <w:color w:val="000000"/>
          <w:sz w:val="32"/>
          <w:szCs w:val="32"/>
        </w:rPr>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为贯彻实施《中华人民共和国工会法》（以下简称《工会法》），依据有关法律、法规，结合我省实际，制定本规定。</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我省行政区域内的企事业单位、机关及其他组织，均应遵守《工会法》和本规定。</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 xml:space="preserve"> 维护职工合法权益是工会的基本职责。工会应当认真履行法律赋予的职责。企事业单位、机关以及其他组织应当尊重法律赋予工会的权利。</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 xml:space="preserve">第四条 </w:t>
      </w:r>
      <w:r>
        <w:rPr>
          <w:rFonts w:ascii="仿宋" w:hAnsi="仿宋" w:cs="仿宋" w:hint="eastAsia" w:eastAsia="仿宋"/>
          <w:color w:val="000000"/>
          <w:sz w:val="32"/>
          <w:szCs w:val="32"/>
        </w:rPr>
        <w:t xml:space="preserve"> 工会应当对职工进行爱国主义、集体主义、社会主义和民主与法制、职业道德教育；组织职工开展业余文化、技术学习和培训；教育职工遵守劳动安全卫生规程和劳动纪律，努力完成生产和工作任务。</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进城务工人员、劳务工有依法参加和组织工会的权利。</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工会应当维护进城务工人员、劳务工合法权益，发现用人单位对进城务工人员、劳务工有克扣或者拖欠工资、强令违章冒险作业、歧视虐待等行为的，应当按照本规定第二十五条程序处理。</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 xml:space="preserve">第六条 </w:t>
      </w:r>
      <w:r>
        <w:rPr>
          <w:rFonts w:ascii="仿宋" w:hAnsi="仿宋" w:cs="仿宋" w:hint="eastAsia" w:eastAsia="仿宋"/>
          <w:color w:val="000000"/>
          <w:sz w:val="32"/>
          <w:szCs w:val="32"/>
        </w:rPr>
        <w:t xml:space="preserve"> 上级工会依据《工会法》和本规定，可以到基层单位指导、帮助组建工会，任何单位和个人不得阻挠。</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组建工会，须经上级工会同意成立工会委员会筹备组。由筹备组发展会员，组织召开会员大会或者会员代表大会，民主选举产生工会委员会。</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自筹建工作开始的下个月起，拟建工会的单位每月按职工工资总额的百分之二提取工会筹备金。工会筹备金主要用于筹建工会所发生的有关费用。</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 xml:space="preserve"> 企业职工人数较多的乡镇、城市街道，可以建立基层工会的联合会。城市社区可以根据需要建立与其相适应的工会组织。</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在进城务工人员、劳务工数量较多的单位或者个体工商户用工集中的场所，可以根据实际情况建立工会组织。</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市场监督管理</w:t>
      </w:r>
      <w:r>
        <w:rPr>
          <w:rFonts w:ascii="仿宋" w:hAnsi="仿宋" w:cs="仿宋" w:hint="eastAsia" w:eastAsia="仿宋"/>
          <w:color w:val="000000"/>
          <w:sz w:val="32"/>
          <w:szCs w:val="32"/>
        </w:rPr>
        <w:t>等政府有关部门应当支持在个体工商户用工集中的场所组建工会组织。</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女职工人数较多的企业、事业单位和机关，可以建立工会女职工委员会；女职工人数较少的，可以在工会委员会中设女职工委员，代表和维护女职工的特殊权益。</w:t>
      </w:r>
    </w:p>
    <w:p>
      <w:pPr>
        <w:pStyle w:val="Normal"/>
        <w:spacing w:lineRule="exact" w:line="56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基层工会组织依照法律、行政法规的规定取得社会团体法人资格。</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企业、事业单位工会应当独立设置，任何组织和个人不得随意撤销、合并工会组织。</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企业、事业单位职工人数</w:t>
      </w:r>
      <w:r>
        <w:rPr>
          <w:rFonts w:eastAsia="仿宋" w:cs="仿宋" w:hint="eastAsia" w:ascii="仿宋" w:hAnsi="仿宋"/>
          <w:color w:val="000000"/>
          <w:sz w:val="32"/>
          <w:szCs w:val="32"/>
        </w:rPr>
        <w:t>200</w:t>
      </w:r>
      <w:r>
        <w:rPr>
          <w:rFonts w:ascii="仿宋" w:hAnsi="仿宋" w:cs="仿宋" w:hint="eastAsia" w:eastAsia="仿宋"/>
          <w:color w:val="000000"/>
          <w:sz w:val="32"/>
          <w:szCs w:val="32"/>
        </w:rPr>
        <w:t>人以下的，可以设工会专职工作人员；职工人数</w:t>
      </w:r>
      <w:r>
        <w:rPr>
          <w:rFonts w:eastAsia="仿宋" w:cs="仿宋" w:hint="eastAsia" w:ascii="仿宋" w:hAnsi="仿宋"/>
          <w:color w:val="000000"/>
          <w:sz w:val="32"/>
          <w:szCs w:val="32"/>
        </w:rPr>
        <w:t>200</w:t>
      </w:r>
      <w:r>
        <w:rPr>
          <w:rFonts w:ascii="仿宋" w:hAnsi="仿宋" w:cs="仿宋" w:hint="eastAsia" w:eastAsia="仿宋"/>
          <w:color w:val="000000"/>
          <w:sz w:val="32"/>
          <w:szCs w:val="32"/>
        </w:rPr>
        <w:t>人以上的，应当设工会专职工作人员，具体人数由上一级工会与企业、事业单位协商确定。</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 xml:space="preserve">第十三条 </w:t>
      </w:r>
      <w:r>
        <w:rPr>
          <w:rFonts w:ascii="仿宋" w:hAnsi="仿宋" w:cs="仿宋" w:hint="eastAsia" w:eastAsia="仿宋"/>
          <w:color w:val="000000"/>
          <w:sz w:val="32"/>
          <w:szCs w:val="32"/>
        </w:rPr>
        <w:t xml:space="preserve"> 工会主席、副主席任期未满时，不得随意调动其工作。确因工作需要调动时，在作出决定前，应当以书面形式征得本级工会委员会和上一级工会的同意。本级工会委员会和上一级工会，应当在接到通知之日起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日内以书面形式作出答复。</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基层工会非专职委员，因工会工作需要占用工作时间，工会应当事先通知所在单位；占用工作时间每月不超过</w:t>
      </w:r>
      <w:r>
        <w:rPr>
          <w:rFonts w:eastAsia="仿宋" w:cs="仿宋" w:hint="eastAsia" w:ascii="仿宋" w:hAnsi="仿宋"/>
          <w:color w:val="000000"/>
          <w:sz w:val="32"/>
          <w:szCs w:val="32"/>
        </w:rPr>
        <w:t>3</w:t>
      </w:r>
      <w:r>
        <w:rPr>
          <w:rFonts w:ascii="仿宋" w:hAnsi="仿宋" w:cs="仿宋" w:hint="eastAsia" w:eastAsia="仿宋"/>
          <w:color w:val="000000"/>
          <w:sz w:val="32"/>
          <w:szCs w:val="32"/>
        </w:rPr>
        <w:t>个工作日，可以与所在单位协商在本年度累计使用，其工资照发，其他待遇不受影响。</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 xml:space="preserve">第十五条 </w:t>
      </w:r>
      <w:r>
        <w:rPr>
          <w:rFonts w:ascii="仿宋" w:hAnsi="仿宋" w:cs="仿宋" w:hint="eastAsia" w:eastAsia="仿宋"/>
          <w:color w:val="000000"/>
          <w:sz w:val="32"/>
          <w:szCs w:val="32"/>
        </w:rPr>
        <w:t xml:space="preserve"> 企业应当依法建立职工代表大会制度。企业工会是职工代表大会的工作机构，负责职工代表大会的日常工作。</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各级地方总工会和产业工会指导企业职工代表大会依法开展工作。</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县级以上各级总工会应当做好推行厂务公开的日常工作，促进国有企业、集体企业及其控股企业的民主管理工作。</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国有企业、集体企业及其控股企业工会应当组织职工积极参与厂务公开活动，对厂务公开工作进行评议和监督。</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企业、事业单位在研究制定重要规章制度和涉及职工切身利益的重大问题时，应当事先征求工会意见。</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工会应当支持董事会、监事会中的职工代表履行职责，维护职工的合法权益。</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董事会、监事会中的职工代表在行使职权时，应当如实表述职工的意愿，并定期向职工代表大会或者全体职工报告工作，主动接受职工的监督。</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工会应当帮助、指导职工与企业以及实行企业化管理的事业单位签订劳动合同。政府有关部门、企业以及实行企业化管理的事业单位拟订劳动合同文本时，应当听取工会的意见。</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企业以及实行企业化管理的事业单位与职工未签订劳动合同的，工会有权要求纠正，或者建议有关部门依法处理。</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工会代表职工与企业以及实行企业化管理的事业单位就劳动报酬、社会保险和福利、工作时间、休息休假、劳动安全卫生、职业培训等事项，进行平等协商，签订集体合同，也可以签订专项集体合同。集体合同草案应当提交职工代表大会或者全体职工讨论通过。</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在小型企业集中的区域或者行业，可以由工会代表职工与企业组织或者企业，进行平等协商，签订区域性或者行业性集体合同。</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工会负责监督集体合同的履行。对履行合同中出现的问题，工会应当及时与企业进行协调处理。</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用人单位与工会在平等协商签订集体合同过程中发生争议，协商解决不成的，</w:t>
      </w:r>
      <w:r>
        <w:rPr>
          <w:rFonts w:ascii="仿宋" w:hAnsi="仿宋" w:cs="仿宋" w:hint="eastAsia" w:eastAsia="仿宋"/>
          <w:color w:val="000000"/>
          <w:sz w:val="32"/>
          <w:szCs w:val="32"/>
        </w:rPr>
        <w:t>人力资源社会保障</w:t>
      </w:r>
      <w:r>
        <w:rPr>
          <w:rFonts w:ascii="仿宋" w:hAnsi="仿宋" w:cs="仿宋" w:hint="eastAsia" w:eastAsia="仿宋"/>
          <w:color w:val="000000"/>
          <w:sz w:val="32"/>
          <w:szCs w:val="32"/>
        </w:rPr>
        <w:t>行政部门应当会同同级工会协调处理。</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企业工会应当支持企业的生产、经营活动，教育职工认真履行劳动合同和集体合同，遵守企业的规章制度。</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上级工会应当帮助、指导和监督检查企业工会与企业进行平等协商、签订集体合同。</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上级工会根据企业工会的要求，可以派工作人员作为顾问参与平等协商，帮助企业工会签订集体合同。</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 xml:space="preserve">第二十五条 </w:t>
      </w:r>
      <w:r>
        <w:rPr>
          <w:rFonts w:ascii="仿宋" w:hAnsi="仿宋" w:cs="仿宋" w:hint="eastAsia" w:eastAsia="仿宋"/>
          <w:color w:val="000000"/>
          <w:sz w:val="32"/>
          <w:szCs w:val="32"/>
        </w:rPr>
        <w:t xml:space="preserve"> 企业、事业单位违反劳动法律、法规、规章的规定，有下列侵犯职工劳动权益情形之一的，县级以上各级总工会有权向企业、事业单位发出《劳动法律监督意见书》，要求限期改正，企业、事业单位应当予以研究处理，并向工会作出答复；企业、事业单位拒不改正的，工会可以向当地人民政府有关部门发出《劳动法律监督建议书》，也可以请求当地人民政府依法处理：</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（一）克扣或者无故拖欠职工工资的；</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（二）低于当地最低工资标准支付工资的；</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（三）不提供劳动安全卫生条件的；</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（四）违法延长劳动时间的；</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（五）不按有关规定登记、申报社会保险及缴纳社会保险费用和支付社会保险金的；</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（六）侵犯女职工和未成年工特殊权益的；</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（七）其他严重侵犯职工劳动权益的。</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工会有权对企业、事业单位侵犯职工合法权益的问题进行调查，在调查时可以依法查阅、复制与侵权有关的资料，有关单位应当予以协助，提供便利条件，不得阻挠或者拒绝。</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工伤职工本人没有能力提出工伤待遇申请的，本单位工会或者上级工会可以代表工伤职工提出待遇申请。</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基层工会委员会负责劳动争议调解委员会的日常工作，上级工会对劳动争议调解工作进行指导。</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乡镇、城市街道以上的工会可以设立劳动争议调解指导委员会，指导所属劳动争议调解委员会开展工作，并调解未建立劳动争议调解委员会的企业发生的劳动争议。</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县级以上各级总工会可以按有关规定设立职工法律援助组织，为职工提供法律服务。</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县级以上各级总工会应当参与劳动模范和先进生产（工作）者待遇政策的制定，并督促有关部门和单位落实劳动模范和先进生产（工作）者的待遇。</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县级以上各级人民政府及其所属部门在研究制定劳动就业、工资、劳动安全卫生、社会保险等涉及职工切身利益的政策、措施时，应当吸收同级工会参加研究，听取工会意见。未吸收工会参加或者未征求工会意见的，工会组织有权要求本级或者上一级人民政府予以处理。</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县级以上各级人民政府可以与同级工会召开联席会议或者采取其他方式，向同级工会通报政府的重要工作部署和涉及职工权益的行政措施，研究解决工会反映的职工群众的意见和要求。</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地方各级人民政府及其</w:t>
      </w:r>
      <w:r>
        <w:rPr>
          <w:rFonts w:ascii="仿宋" w:hAnsi="仿宋" w:cs="仿宋" w:hint="eastAsia" w:eastAsia="仿宋"/>
          <w:color w:val="000000"/>
          <w:sz w:val="32"/>
          <w:szCs w:val="32"/>
        </w:rPr>
        <w:t>人力资源社会保障</w:t>
      </w:r>
      <w:r>
        <w:rPr>
          <w:rFonts w:ascii="仿宋" w:hAnsi="仿宋" w:cs="仿宋" w:hint="eastAsia" w:eastAsia="仿宋"/>
          <w:color w:val="000000"/>
          <w:sz w:val="32"/>
          <w:szCs w:val="32"/>
        </w:rPr>
        <w:t>、公安、税务、</w:t>
      </w:r>
      <w:r>
        <w:rPr>
          <w:rFonts w:ascii="仿宋" w:hAnsi="仿宋" w:cs="仿宋" w:hint="eastAsia" w:eastAsia="仿宋"/>
          <w:color w:val="000000"/>
          <w:sz w:val="32"/>
          <w:szCs w:val="32"/>
        </w:rPr>
        <w:t>市场监督管理</w:t>
      </w:r>
      <w:r>
        <w:rPr>
          <w:rFonts w:ascii="仿宋" w:hAnsi="仿宋" w:cs="仿宋" w:hint="eastAsia" w:eastAsia="仿宋"/>
          <w:color w:val="000000"/>
          <w:sz w:val="32"/>
          <w:szCs w:val="32"/>
        </w:rPr>
        <w:t>、司法行政等部门和人民法院应当在其职责范围内，支持工会依法开展工作。</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县级以上各级人民政府</w:t>
      </w:r>
      <w:r>
        <w:rPr>
          <w:rFonts w:ascii="仿宋" w:hAnsi="仿宋" w:cs="仿宋" w:hint="eastAsia" w:eastAsia="仿宋"/>
          <w:color w:val="000000"/>
          <w:sz w:val="32"/>
          <w:szCs w:val="32"/>
        </w:rPr>
        <w:t>人力资源社会保障</w:t>
      </w:r>
      <w:r>
        <w:rPr>
          <w:rFonts w:ascii="仿宋" w:hAnsi="仿宋" w:cs="仿宋" w:hint="eastAsia" w:eastAsia="仿宋"/>
          <w:color w:val="000000"/>
          <w:sz w:val="32"/>
          <w:szCs w:val="32"/>
        </w:rPr>
        <w:t>行政部门应当会同同级工会和企业方面的代表，建立劳动关系三方协商机制。</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劳动关系三方共同形成的协议，各方应当在各自的职责范围内认真组织实施。</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劳动关系三方共同研究解决如下劳动关系方面的重大事项：</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（一）推行和完善平等协商、集体合同制度以及劳动合同制度；</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（二）企业改制改组过程中的劳动关系；</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（三）企业工资收入分配；</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（四）最低工资、工作时间和休息休假、劳动安全卫生、女职工和未成年工特殊保护、生活福利待遇、职业技能培训等职工劳动权利的维护；</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（五）劳动争议的预防和处理；</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（六）职工民主管理和工会组织建设；</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（七）其他有关劳动关系调整的事项。</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建立工会组织的企业以及实行企业化管理的事业单位，应当依法按时足额拨缴工会经费。逾期未拨缴或者未足额拨缴的，该基层工会或者上级工会可以发出催缴通知书，被通知单位应当在接到催缴通知书之日起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日内以书面形式作出支付承诺。逾期未予答复或者未履行承诺的，工会可以依法向人民法院申请支付令；拒不执行支付令的，可以申请人民法院强制执行。</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建立工会组织的机关、事业单位和其他组织，属于财政负担的工会经费，财政部门应当将其列入部门年度财政预算，实行国库集中支付。</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 xml:space="preserve">第三十八条 </w:t>
      </w:r>
      <w:r>
        <w:rPr>
          <w:rFonts w:ascii="仿宋" w:hAnsi="仿宋" w:cs="仿宋" w:hint="eastAsia" w:eastAsia="仿宋"/>
          <w:color w:val="000000"/>
          <w:sz w:val="32"/>
          <w:szCs w:val="32"/>
        </w:rPr>
        <w:t xml:space="preserve"> 县级以上各级人民政府和企事业单位、机关应当为工会提供办公、会议、文化、体育等活动的场所和设施，并负责其维修。</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县级以上各级人民政府和企事业单位，根据财力情况，每年可以给工会一定的经费补助。</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上级工会经费审查委员会认为必要或者在下一级工会经费审查委员会提出要求时，上级工会经费审查委员会可以对下级工会及其直属企业、事业单位的经费收支和财产管理情况进行审查。</w:t>
      </w:r>
    </w:p>
    <w:p>
      <w:pPr>
        <w:pStyle w:val="Normal"/>
        <w:spacing w:lineRule="exact" w:line="560"/>
        <w:ind w:firstLineChars="200" w:startChars="0" w:start="0" w:endChars="0" w:end="0"/>
        <w:rPr>
          <w:rFonts w:ascii="仿宋" w:hAnsi="仿宋" w:eastAsia="仿宋" w:cs="仿宋"/>
          <w:color w:val="000000"/>
          <w:sz w:val="32"/>
          <w:szCs w:val="32"/>
        </w:rPr>
      </w:pPr>
      <w:r>
        <w:rPr>
          <w:rFonts w:ascii="仿宋" w:hAnsi="仿宋" w:cs="仿宋" w:hint="eastAsia" w:eastAsia="仿宋"/>
          <w:color w:val="000000"/>
          <w:sz w:val="32"/>
          <w:szCs w:val="32"/>
        </w:rPr>
        <w:t>工会经费审查委员会可以对企业、事业单位工会经费管理使用情况进行监督，查阅有关资料，有关单位应当予以协助，提供便利条件。</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违反本规定，侵犯职工或者工会合法权益的，依据《工会法》的有关规定处理。</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
          <w:color w:val="000000"/>
          <w:sz w:val="32"/>
          <w:szCs w:val="32"/>
        </w:rPr>
        <w:t xml:space="preserve">  本规定自</w:t>
      </w:r>
      <w:r>
        <w:rPr>
          <w:rFonts w:eastAsia="仿宋" w:cs="仿宋" w:hint="eastAsia" w:ascii="仿宋" w:hAnsi="仿宋"/>
          <w:color w:val="000000"/>
          <w:sz w:val="32"/>
          <w:szCs w:val="32"/>
        </w:rPr>
        <w:t>2003</w:t>
      </w:r>
      <w:r>
        <w:rPr>
          <w:rFonts w:ascii="仿宋" w:hAnsi="仿宋" w:cs="仿宋" w:hint="eastAsia" w:eastAsia="仿宋"/>
          <w:color w:val="000000"/>
          <w:sz w:val="32"/>
          <w:szCs w:val="32"/>
        </w:rPr>
        <w:t>年</w:t>
      </w:r>
      <w:r>
        <w:rPr>
          <w:rFonts w:eastAsia="仿宋" w:cs="仿宋" w:hint="eastAsia" w:ascii="仿宋" w:hAnsi="仿宋"/>
          <w:color w:val="000000"/>
          <w:sz w:val="32"/>
          <w:szCs w:val="32"/>
        </w:rPr>
        <w:t>1</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日起施行。《辽宁省工会条例》、《辽宁省外商投资企业工会条例》和《辽宁省私营企业工会规定》同时废止。</w:t>
      </w:r>
    </w:p>
    <w:p>
      <w:pPr>
        <w:pStyle w:val="Normal"/>
        <w:spacing w:lineRule="exact" w:line="560"/>
        <w:rPr>
          <w:rFonts w:ascii="仿宋" w:hAnsi="仿宋" w:eastAsia="仿宋" w:cs="仿宋"/>
          <w:color w:val="000000"/>
          <w:sz w:val="32"/>
          <w:szCs w:val="32"/>
        </w:rPr>
      </w:pPr>
      <w:r>
        <w:rPr>
          <w:rFonts w:eastAsia="仿宋" w:cs="仿宋" w:ascii="仿宋" w:hAnsi="仿宋"/>
          <w:color w:val="000000"/>
          <w:sz w:val="32"/>
          <w:szCs w:val="32"/>
        </w:rPr>
      </w:r>
    </w:p>
    <w:p>
      <w:pPr>
        <w:pStyle w:val="Normal"/>
        <w:spacing w:lineRule="exact" w:line="560"/>
        <w:rPr>
          <w:rFonts w:ascii="仿宋" w:hAnsi="仿宋" w:eastAsia="仿宋" w:cs="仿宋"/>
          <w:color w:val="000000"/>
          <w:sz w:val="32"/>
          <w:szCs w:val="32"/>
        </w:rPr>
      </w:pPr>
      <w:r>
        <w:rPr>
          <w:rFonts w:eastAsia="仿宋" w:cs="仿宋" w:ascii="仿宋" w:hAnsi="仿宋"/>
          <w:color w:val="000000"/>
          <w:sz w:val="32"/>
          <w:szCs w:val="32"/>
        </w:rPr>
      </w:r>
    </w:p>
    <w:sectPr>
      <w:footerReference w:type="default" r:id="rId2"/>
      <w:type w:val="nextPage"/>
      <w:pgSz w:w="11906" w:h="16838"/>
      <w:pgMar w:left="1587" w:right="1474" w:gutter="0" w:header="0" w:top="2041" w:footer="992" w:bottom="204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617845" cy="443230"/>
              <wp:effectExtent l="0" t="0" r="0" b="0"/>
              <wp:wrapNone/>
              <wp:docPr id="1" name="Frame1"/>
              <a:graphic xmlns:a="http://schemas.openxmlformats.org/drawingml/2006/main">
                <a:graphicData uri="http://schemas.microsoft.com/office/word/2010/wordprocessingShape">
                  <wps:wsp>
                    <wps:cNvSpPr txBox="1"/>
                    <wps:spPr>
                      <a:xfrm>
                        <a:off x="0" y="0"/>
                        <a:ext cx="5617845" cy="443230"/>
                      </a:xfrm>
                      <a:prstGeom prst="rect"/>
                      <a:solidFill>
                        <a:srgbClr val="FFFFFF">
                          <a:alpha val="0"/>
                        </a:srgbClr>
                      </a:solidFill>
                    </wps:spPr>
                    <wps:txbx>
                      <w:txbxContent>
                        <w:p>
                          <w:pPr>
                            <w:pStyle w:val="Normal"/>
                            <w:snapToGrid w:val="false"/>
                            <w:spacing w:lineRule="atLeast" w:line="240"/>
                            <w:ind w:firstLineChars="0" w:firstLine="0" w:startChars="200" w:endChars="200"/>
                            <w:rPr>
                              <w:sz w:val="28"/>
                              <w:szCs w:val="28"/>
                            </w:rPr>
                          </w:pPr>
                          <w:r>
                            <w:rPr>
                              <w:rFonts w:cs="宋体" w:hint="eastAsia" w:ascii="宋体" w:hAnsi="宋体"/>
                              <w:sz w:val="28"/>
                              <w:szCs w:val="28"/>
                            </w:rPr>
                            <w:t>—</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p>
                          <w:pPr>
                            <w:pStyle w:val="Normal"/>
                            <w:snapToGrid w:val="false"/>
                            <w:rPr>
                              <w:sz w:val="18"/>
                              <w:szCs w:val="28"/>
                            </w:rPr>
                          </w:pPr>
                          <w:r>
                            <w:rPr>
                              <w:sz w:val="18"/>
                              <w:szCs w:val="28"/>
                            </w:rPr>
                          </w:r>
                        </w:p>
                      </w:txbxContent>
                    </wps:txbx>
                    <wps:bodyPr anchor="t" lIns="635" tIns="635" rIns="635" bIns="635">
                      <a:spAutoFit/>
                    </wps:bodyPr>
                  </wps:wsp>
                </a:graphicData>
              </a:graphic>
            </wp:anchor>
          </w:drawing>
        </mc:Choice>
        <mc:Fallback>
          <w:pict>
            <v:rect fillcolor="#FFFFFF" style="position:absolute;rotation:-0;width:442.35pt;height:34.9pt;mso-wrap-distance-left:9.05pt;mso-wrap-distance-right:0pt;mso-wrap-distance-top:0pt;mso-wrap-distance-bottom:0pt;margin-top:0pt;mso-position-vertical-relative:text;margin-left:-0.1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200"/>
                      <w:rPr>
                        <w:sz w:val="28"/>
                        <w:szCs w:val="28"/>
                      </w:rPr>
                    </w:pPr>
                    <w:r>
                      <w:rPr>
                        <w:rFonts w:cs="宋体" w:hint="eastAsia" w:ascii="宋体" w:hAnsi="宋体"/>
                        <w:sz w:val="28"/>
                        <w:szCs w:val="28"/>
                      </w:rPr>
                      <w:t>—</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p>
                    <w:pPr>
                      <w:pStyle w:val="Normal"/>
                      <w:snapToGrid w:val="false"/>
                      <w:rPr>
                        <w:sz w:val="18"/>
                        <w:szCs w:val="28"/>
                      </w:rPr>
                    </w:pPr>
                    <w:r>
                      <w:rPr>
                        <w:sz w:val="18"/>
                        <w:szCs w:val="28"/>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cs="Arial"/>
      <w:sz w:val="32"/>
    </w:rPr>
  </w:style>
  <w:style w:type="character" w:styleId="Style12">
    <w:name w:val="默认段落字体"/>
    <w:qFormat/>
    <w:rPr/>
  </w:style>
  <w:style w:type="character" w:styleId="CharChar">
    <w:name w:val="目录 Char Char"/>
    <w:qFormat/>
    <w:rPr>
      <w:rFonts w:ascii="Calibri" w:hAnsi="Calibri" w:eastAsia="仿宋" w:cs="Calibri"/>
      <w:sz w:val="32"/>
    </w:rPr>
  </w:style>
  <w:style w:type="character" w:styleId="1CharChar">
    <w:name w:val="标题 1 Char Char"/>
    <w:qFormat/>
    <w:rPr>
      <w:rFonts w:ascii="Calibri" w:hAnsi="Calibri" w:eastAsia="黑体" w:cs="Calibri"/>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3">
    <w:name w:val="目录"/>
    <w:basedOn w:val="Normal"/>
    <w:qFormat/>
    <w:pPr>
      <w:spacing w:lineRule="exact" w:line="560"/>
    </w:pPr>
    <w:rPr>
      <w:rFonts w:ascii="Calibri" w:hAnsi="Calibri" w:eastAsia="仿宋" w:cs="Calibri"/>
      <w:sz w:val="32"/>
    </w:rPr>
  </w:style>
  <w:style w:type="paragraph" w:styleId="CharCharCharCharCharCharCharCharCharCharCharCharCharCharCharChar">
    <w:name w:val="Char Char Char Char Char Char Char Char Char Char Char Char Char Char Char Char"/>
    <w:basedOn w:val="Normal"/>
    <w:qFormat/>
    <w:pPr>
      <w:tabs>
        <w:tab w:val="clear" w:pos="420"/>
        <w:tab w:val="left" w:pos="360" w:leader="none"/>
      </w:tabs>
    </w:pPr>
    <w:rPr>
      <w:rFonts w:ascii="Times New Roman" w:hAnsi="Times New Roman" w:cs="Times New Roman"/>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青菜</cp:lastModifiedBy>
  <dcterms:modified xsi:type="dcterms:W3CDTF">2021-01-04T17:06:24Z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