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both"/>
        <w:rPr>
          <w:rFonts w:ascii="宋体" w:hAnsi="宋体" w:cs="宋体" w:hint="eastAsia"/>
          <w:b/>
          <w:bCs/>
          <w:color w:val="000000"/>
          <w:kern w:val="0"/>
          <w:sz w:val="32"/>
          <w:szCs w:val="32"/>
        </w:rPr>
      </w:pPr>
      <w:r>
        <w:rPr>
          <w:rFonts w:cs="宋体" w:hint="eastAsia" w:ascii="宋体" w:hAnsi="宋体"/>
          <w:b/>
          <w:bCs/>
          <w:color w:val="000000"/>
          <w:kern w:val="0"/>
          <w:sz w:val="32"/>
          <w:szCs w:val="32"/>
        </w:rPr>
      </w:r>
    </w:p>
    <w:p>
      <w:pPr>
        <w:pStyle w:val="Normal"/>
        <w:spacing w:lineRule="exact" w:line="700"/>
        <w:jc w:val="center"/>
        <w:rPr>
          <w:rFonts w:ascii="宋体" w:hAnsi="宋体" w:eastAsia="宋体" w:cs="宋体" w:hint="eastAsia"/>
          <w:b/>
          <w:bCs/>
          <w:color w:val="000000"/>
          <w:kern w:val="0"/>
          <w:sz w:val="44"/>
          <w:szCs w:val="44"/>
        </w:rPr>
      </w:pPr>
      <w:r>
        <w:rPr>
          <w:rFonts w:ascii="宋体" w:hAnsi="宋体" w:cs="宋体" w:hint="eastAsia"/>
          <w:b/>
          <w:bCs/>
          <w:color w:val="000000"/>
          <w:kern w:val="0"/>
          <w:sz w:val="44"/>
          <w:szCs w:val="44"/>
        </w:rPr>
        <w:t>辽宁省企业权益保护条例</w:t>
      </w:r>
    </w:p>
    <w:p>
      <w:pPr>
        <w:pStyle w:val="NewNewNewNewNewNewNewNewNewNewNewNewNewNewNewNewNewNewNewNewNewNewNewNewNewNewNewNewNewNewNewNewNewNewNewNewNewNewNewNewNewNewNewNewNewNewNewNewNewNewNewNewNewNewNewNewNewNewNewNewNewNewNe"/>
        <w:widowControl/>
        <w:snapToGrid w:val="false"/>
        <w:spacing w:lineRule="exact" w:line="580" w:before="0" w:after="0"/>
        <w:ind w:firstLineChars="0" w:firstLine="0" w:startChars="300" w:endChars="300"/>
        <w:rPr>
          <w:rFonts w:ascii="宋体" w:hAnsi="宋体" w:eastAsia="宋体" w:cs="宋体" w:hint="eastAsia"/>
          <w:b/>
          <w:bCs/>
          <w:color w:val="000000"/>
          <w:kern w:val="0"/>
          <w:sz w:val="32"/>
          <w:szCs w:val="32"/>
        </w:rPr>
      </w:pPr>
      <w:r>
        <w:rPr>
          <w:rFonts w:eastAsia="宋体" w:cs="宋体" w:hint="eastAsia" w:ascii="宋体" w:hAnsi="宋体"/>
          <w:b/>
          <w:bCs/>
          <w:color w:val="000000"/>
          <w:kern w:val="0"/>
          <w:sz w:val="32"/>
          <w:szCs w:val="32"/>
        </w:rPr>
      </w:r>
    </w:p>
    <w:p>
      <w:pPr>
        <w:pStyle w:val="NewNewNewNewNewNewNewNewNewNewNewNewNewNewNewNewNewNewNewNewNewNewNewNewNewNewNewNewNewNewNewNewNewNewNewNewNewNewNewNewNewNewNewNewNewNewNewNewNewNewNewNewNewNewNewNewNewNewNewNewNewNewNe"/>
        <w:keepNext w:val="false"/>
        <w:keepLines w:val="false"/>
        <w:pageBreakBefore w:val="false"/>
        <w:widowControl/>
        <w:kinsoku w:val="true"/>
        <w:overflowPunct w:val="true"/>
        <w:autoSpaceDE w:val="true"/>
        <w:bidi w:val="0"/>
        <w:snapToGrid w:val="false"/>
        <w:spacing w:lineRule="exact" w:line="580"/>
        <w:ind w:firstLineChars="0" w:firstLine="0" w:startChars="200" w:endChars="200"/>
        <w:textAlignment w:val="auto"/>
        <w:rPr>
          <w:rFonts w:ascii="楷体" w:hAnsi="楷体" w:eastAsia="楷体" w:cs="楷体" w:hint="eastAsia"/>
          <w:kern w:val="0"/>
          <w:sz w:val="32"/>
          <w:szCs w:val="32"/>
        </w:rPr>
      </w:pPr>
      <w:r>
        <w:rPr>
          <w:rFonts w:ascii="楷体" w:hAnsi="楷体" w:cs="楷体" w:hint="eastAsia" w:eastAsia="楷体"/>
          <w:kern w:val="0"/>
          <w:sz w:val="32"/>
          <w:szCs w:val="24"/>
        </w:rPr>
        <w:t>（</w:t>
      </w:r>
      <w:r>
        <w:rPr>
          <w:rFonts w:eastAsia="楷体" w:cs="楷体" w:hint="eastAsia" w:ascii="楷体" w:hAnsi="楷体"/>
          <w:kern w:val="0"/>
          <w:sz w:val="32"/>
          <w:szCs w:val="24"/>
        </w:rPr>
        <w:t>2019</w:t>
      </w:r>
      <w:r>
        <w:rPr>
          <w:rFonts w:ascii="楷体" w:hAnsi="楷体" w:cs="楷体" w:hint="eastAsia" w:eastAsia="楷体"/>
          <w:kern w:val="0"/>
          <w:sz w:val="32"/>
          <w:szCs w:val="24"/>
        </w:rPr>
        <w:t>年</w:t>
      </w:r>
      <w:r>
        <w:rPr>
          <w:rFonts w:eastAsia="楷体" w:cs="楷体" w:hint="eastAsia" w:ascii="楷体" w:hAnsi="楷体"/>
          <w:kern w:val="0"/>
          <w:sz w:val="32"/>
          <w:szCs w:val="24"/>
        </w:rPr>
        <w:t>11</w:t>
      </w:r>
      <w:r>
        <w:rPr>
          <w:rFonts w:ascii="楷体" w:hAnsi="楷体" w:cs="楷体" w:hint="eastAsia" w:eastAsia="楷体"/>
          <w:kern w:val="0"/>
          <w:sz w:val="32"/>
          <w:szCs w:val="24"/>
        </w:rPr>
        <w:t>月</w:t>
      </w:r>
      <w:r>
        <w:rPr>
          <w:rFonts w:eastAsia="楷体" w:cs="楷体" w:hint="eastAsia" w:ascii="楷体" w:hAnsi="楷体"/>
          <w:kern w:val="0"/>
          <w:sz w:val="32"/>
          <w:szCs w:val="24"/>
        </w:rPr>
        <w:t>28</w:t>
      </w:r>
      <w:r>
        <w:rPr>
          <w:rFonts w:ascii="楷体" w:hAnsi="楷体" w:cs="楷体" w:hint="eastAsia" w:eastAsia="楷体"/>
          <w:kern w:val="0"/>
          <w:sz w:val="32"/>
          <w:szCs w:val="24"/>
        </w:rPr>
        <w:t>日辽宁省第十三届人民代表大会常务委员会第十四次会议通过）</w:t>
      </w:r>
    </w:p>
    <w:p>
      <w:pPr>
        <w:pStyle w:val="Normal"/>
        <w:keepNext w:val="false"/>
        <w:keepLines w:val="false"/>
        <w:pageBreakBefore w:val="false"/>
        <w:kinsoku w:val="true"/>
        <w:overflowPunct w:val="true"/>
        <w:autoSpaceDE w:val="true"/>
        <w:bidi w:val="0"/>
        <w:spacing w:lineRule="exact" w:line="700"/>
        <w:ind w:firstLineChars="0" w:firstLine="0" w:startChars="200" w:endChars="200"/>
        <w:textAlignment w:val="auto"/>
        <w:rPr>
          <w:rFonts w:ascii="宋体" w:hAnsi="宋体" w:eastAsia="楷体" w:cs="宋体" w:hint="eastAsia"/>
          <w:bCs/>
          <w:color w:val="000000"/>
          <w:kern w:val="0"/>
          <w:sz w:val="32"/>
          <w:szCs w:val="32"/>
        </w:rPr>
      </w:pPr>
      <w:r>
        <w:rPr>
          <w:rFonts w:eastAsia="楷体" w:cs="宋体" w:hint="eastAsia" w:ascii="宋体" w:hAnsi="宋体"/>
          <w:bCs/>
          <w:color w:val="000000"/>
          <w:kern w:val="0"/>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为了保护企业合法权益，优化企业生产经营环境，促进经济社会健康发展，根据有关法律法规，结合本省实际，制定本条例。</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第二条  </w:t>
      </w:r>
      <w:r>
        <w:rPr>
          <w:rFonts w:ascii="仿宋" w:hAnsi="仿宋" w:cs="仿宋" w:hint="eastAsia" w:eastAsia="仿宋"/>
          <w:sz w:val="32"/>
          <w:szCs w:val="32"/>
        </w:rPr>
        <w:t>本省行政区域内依法设立的，或者在本省行政区域内依法开展经营活动的各类企业</w:t>
      </w:r>
      <w:r>
        <w:rPr>
          <w:rFonts w:ascii="仿宋" w:hAnsi="仿宋" w:cs="仿宋" w:hint="eastAsia" w:eastAsia="仿宋"/>
          <w:sz w:val="32"/>
          <w:szCs w:val="32"/>
        </w:rPr>
        <w:t>的</w:t>
      </w:r>
      <w:r>
        <w:rPr>
          <w:rFonts w:ascii="仿宋" w:hAnsi="仿宋" w:cs="仿宋" w:hint="eastAsia" w:eastAsia="仿宋"/>
          <w:sz w:val="32"/>
          <w:szCs w:val="32"/>
        </w:rPr>
        <w:t>合法权益保护工作，适用本条例。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本条例所称的企业权益，是指企业依法享有的财产权、经营权以及与之相关的其他权利和利益。</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企业的合法权益保护工作应当遵循依法、</w:t>
      </w:r>
      <w:r>
        <w:rPr>
          <w:rFonts w:ascii="仿宋" w:hAnsi="仿宋" w:cs="仿宋" w:hint="eastAsia" w:eastAsia="仿宋"/>
          <w:sz w:val="32"/>
          <w:szCs w:val="32"/>
        </w:rPr>
        <w:t>公正、平等和</w:t>
      </w:r>
      <w:r>
        <w:rPr>
          <w:rFonts w:ascii="仿宋" w:hAnsi="仿宋" w:cs="仿宋" w:hint="eastAsia" w:eastAsia="仿宋"/>
          <w:sz w:val="32"/>
          <w:szCs w:val="32"/>
          <w:u w:val="none"/>
        </w:rPr>
        <w:t>共同</w:t>
      </w:r>
      <w:r>
        <w:rPr>
          <w:rFonts w:ascii="仿宋" w:hAnsi="仿宋" w:cs="仿宋" w:hint="eastAsia" w:eastAsia="仿宋"/>
          <w:sz w:val="32"/>
          <w:szCs w:val="32"/>
        </w:rPr>
        <w:t>参与</w:t>
      </w:r>
      <w:r>
        <w:rPr>
          <w:rFonts w:ascii="仿宋" w:hAnsi="仿宋" w:cs="仿宋" w:hint="eastAsia" w:eastAsia="仿宋"/>
          <w:sz w:val="32"/>
          <w:szCs w:val="32"/>
        </w:rPr>
        <w:t>的原则。</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第四条 </w:t>
      </w:r>
      <w:r>
        <w:rPr>
          <w:rFonts w:ascii="仿宋" w:hAnsi="仿宋" w:cs="仿宋" w:hint="eastAsia" w:eastAsia="仿宋"/>
          <w:sz w:val="32"/>
          <w:szCs w:val="32"/>
        </w:rPr>
        <w:t xml:space="preserve"> 省、市、县（含县级市、区，下同）人民政府应当建立和完善企业合法权益保护工作联席会议制度</w:t>
      </w:r>
      <w:r>
        <w:rPr>
          <w:rFonts w:ascii="仿宋" w:hAnsi="仿宋" w:cs="仿宋" w:hint="eastAsia" w:eastAsia="仿宋"/>
          <w:sz w:val="32"/>
          <w:szCs w:val="32"/>
        </w:rPr>
        <w:t>，研究、解决企业权益保护中的重要问题，</w:t>
      </w:r>
      <w:r>
        <w:rPr>
          <w:rFonts w:ascii="仿宋" w:hAnsi="仿宋" w:cs="仿宋" w:hint="eastAsia" w:eastAsia="仿宋"/>
          <w:sz w:val="32"/>
          <w:szCs w:val="32"/>
        </w:rPr>
        <w:t>组织、协调和督促有关部门依法做好企业合法权益保护</w:t>
      </w:r>
      <w:r>
        <w:rPr>
          <w:rFonts w:ascii="仿宋" w:hAnsi="仿宋" w:cs="仿宋" w:hint="eastAsia" w:eastAsia="仿宋"/>
          <w:sz w:val="32"/>
          <w:szCs w:val="32"/>
        </w:rPr>
        <w:t>工作</w:t>
      </w:r>
      <w:r>
        <w:rPr>
          <w:rFonts w:ascii="黑体" w:hAnsi="黑体" w:cs="黑体" w:hint="eastAsia" w:eastAsia="黑体"/>
          <w:sz w:val="32"/>
          <w:szCs w:val="32"/>
        </w:rPr>
        <w:t>。</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第五条 </w:t>
      </w:r>
      <w:r>
        <w:rPr>
          <w:rFonts w:ascii="仿宋" w:hAnsi="仿宋" w:cs="仿宋" w:hint="eastAsia" w:eastAsia="仿宋"/>
          <w:sz w:val="32"/>
          <w:szCs w:val="32"/>
        </w:rPr>
        <w:t xml:space="preserve"> 省、市、县人民政府工业和信息化主管部门负责本行政区域内企业合法权益保护的协调和服务等具体工作。</w:t>
      </w:r>
    </w:p>
    <w:p>
      <w:pPr>
        <w:pStyle w:val="Normal"/>
        <w:rPr>
          <w:rFonts w:ascii="仿宋" w:hAnsi="仿宋" w:eastAsia="仿宋" w:cs="仿宋" w:hint="eastAsia"/>
          <w:sz w:val="32"/>
          <w:szCs w:val="32"/>
        </w:rPr>
      </w:pPr>
      <w:r>
        <w:rPr>
          <w:rFonts w:ascii="仿宋" w:hAnsi="仿宋" w:cs="仿宋" w:hint="eastAsia" w:eastAsia="仿宋"/>
          <w:sz w:val="32"/>
          <w:szCs w:val="32"/>
        </w:rPr>
        <w:t>　</w:t>
      </w:r>
      <w:r>
        <w:rPr>
          <w:rFonts w:ascii="仿宋" w:hAnsi="仿宋" w:cs="仿宋" w:hint="eastAsia" w:eastAsia="仿宋"/>
          <w:sz w:val="32"/>
          <w:szCs w:val="32"/>
        </w:rPr>
        <w:t>　国有资产监督管理、发展改革、财政、市场监督管理、司法、人力资源社会保障、公安、科技、商务、金融监管、税务、应急管理、生态环境、营商环境、农业农村等有关部门按照各自职责，依法做好企业合法权益保护的相关工作。</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w:t>
      </w:r>
      <w:r>
        <w:rPr>
          <w:rFonts w:ascii="仿宋" w:hAnsi="仿宋" w:cs="仿宋" w:hint="eastAsia" w:eastAsia="仿宋"/>
          <w:sz w:val="32"/>
          <w:szCs w:val="32"/>
        </w:rPr>
        <w:t>行业协会、商会等社会组织应当加强行业自律，引导企业守法经营和履行社会责任，依法维护企业合法权益，及时向政府及其有关部门反映企业合理诉求，为企业提供信息咨询、宣传培训、市场拓展、权益保护、纠纷处理等方面的服务，帮助企业解决实际困难和问题。</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第七条  </w:t>
      </w:r>
      <w:r>
        <w:rPr>
          <w:rFonts w:ascii="仿宋" w:hAnsi="仿宋" w:cs="仿宋" w:hint="eastAsia" w:eastAsia="仿宋"/>
          <w:bCs/>
          <w:sz w:val="32"/>
          <w:szCs w:val="36"/>
        </w:rPr>
        <w:t>省、市、县人民政府及其有关部门</w:t>
      </w:r>
      <w:r>
        <w:rPr>
          <w:rFonts w:ascii="仿宋" w:hAnsi="仿宋" w:cs="仿宋" w:hint="eastAsia" w:eastAsia="仿宋"/>
          <w:sz w:val="32"/>
          <w:szCs w:val="32"/>
        </w:rPr>
        <w:t>应当</w:t>
      </w:r>
      <w:r>
        <w:rPr>
          <w:rFonts w:ascii="仿宋" w:hAnsi="仿宋" w:cs="仿宋" w:hint="eastAsia" w:eastAsia="仿宋"/>
          <w:bCs/>
          <w:sz w:val="32"/>
          <w:szCs w:val="36"/>
        </w:rPr>
        <w:t>建立政企沟通机制，</w:t>
      </w:r>
      <w:r>
        <w:rPr>
          <w:rFonts w:ascii="仿宋" w:hAnsi="仿宋" w:cs="仿宋" w:hint="eastAsia" w:eastAsia="仿宋"/>
          <w:sz w:val="32"/>
          <w:szCs w:val="32"/>
        </w:rPr>
        <w:t>畅通政企沟通渠道，建立联系企业帮扶制度，采取多种方式及时听取企业的反映和诉求，了解企业生产经营中遇到的困难和问题，并依法依规帮助其解决。</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第八条 </w:t>
      </w:r>
      <w:r>
        <w:rPr>
          <w:rFonts w:ascii="仿宋" w:hAnsi="仿宋" w:cs="仿宋" w:hint="eastAsia" w:eastAsia="仿宋"/>
          <w:sz w:val="32"/>
          <w:szCs w:val="32"/>
        </w:rPr>
        <w:t xml:space="preserve"> </w:t>
      </w:r>
      <w:r>
        <w:rPr>
          <w:rFonts w:ascii="仿宋" w:hAnsi="仿宋" w:cs="仿宋" w:hint="eastAsia" w:eastAsia="仿宋"/>
          <w:sz w:val="32"/>
          <w:szCs w:val="32"/>
        </w:rPr>
        <w:t>省、市、县人民政府及其有关部门应当按照建立统一开放、竞争有序的市场体系要求，及时清理涉及市场准入和与企业生产经营活动相关的行政规范性文件。</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w:t>
      </w:r>
      <w:r>
        <w:rPr>
          <w:rFonts w:ascii="仿宋" w:hAnsi="仿宋" w:cs="仿宋" w:hint="eastAsia" w:eastAsia="仿宋"/>
          <w:sz w:val="32"/>
          <w:szCs w:val="32"/>
        </w:rPr>
        <w:t xml:space="preserve"> 制定涉及企业生产经营活动的地方性法规、政府规章、行政规范性文件或者其他政策措施的，起草单位或者制定机关应当按照国家和省有关规定，进行公平竞争审查。没有进行公平竞争审查，或者经审查认为具有排除、限制竞争效果的，不得颁布实施。</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w:t>
      </w:r>
      <w:r>
        <w:rPr>
          <w:rFonts w:ascii="仿宋" w:hAnsi="仿宋" w:cs="仿宋" w:hint="eastAsia" w:eastAsia="仿宋"/>
          <w:sz w:val="32"/>
          <w:szCs w:val="32"/>
        </w:rPr>
        <w:t>省、市、县人民政府及其有关部门在拟定与企业生产经营活动密切相关、涉及企业重大权益的地方性法规、政府规章和行政规范性文件时，应当通过召开座谈会、听证会等方式听取企业和行业协会、商会等社会组织的意见和建议，对合理意见和建议应当予以采纳。没有法律法规依据，行政规范性文件不得减损企业和企业经营者的合法权益或者增加其义务，不得设置市场准入和退出条件，不得干预企业的正常生产经营活动。</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w:t>
      </w:r>
      <w:r>
        <w:rPr>
          <w:rFonts w:ascii="仿宋" w:hAnsi="仿宋" w:cs="仿宋" w:hint="eastAsia" w:eastAsia="仿宋"/>
          <w:sz w:val="32"/>
          <w:szCs w:val="32"/>
        </w:rPr>
        <w:t>各级机关和有关单位应当保障各类企业依法通过公平竞争参与政府采购活动，不得在企业股权结构、经营年限、经营规模和财务指标等采购条件设置上，对不同企业实行差别待遇。法律、法规另有规定的除外。</w:t>
      </w:r>
    </w:p>
    <w:p>
      <w:pPr>
        <w:pStyle w:val="Normal"/>
        <w:ind w:firstLineChars="200" w:startChars="0" w:start="0" w:endChars="0" w:end="0"/>
        <w:rPr>
          <w:rFonts w:ascii="仿宋" w:hAnsi="仿宋" w:eastAsia="仿宋" w:cs="仿宋" w:hint="eastAsia"/>
          <w:sz w:val="32"/>
          <w:szCs w:val="32"/>
          <w:u w:val="none"/>
        </w:rPr>
      </w:pPr>
      <w:r>
        <w:rPr>
          <w:rFonts w:ascii="黑体" w:hAnsi="黑体" w:cs="黑体" w:hint="eastAsia" w:eastAsia="黑体"/>
          <w:sz w:val="32"/>
          <w:szCs w:val="32"/>
          <w:u w:val="none"/>
        </w:rPr>
        <w:t xml:space="preserve">第十二条 </w:t>
      </w:r>
      <w:r>
        <w:rPr>
          <w:rFonts w:ascii="仿宋" w:hAnsi="仿宋" w:cs="仿宋" w:hint="eastAsia" w:eastAsia="仿宋"/>
          <w:sz w:val="32"/>
          <w:szCs w:val="32"/>
          <w:u w:val="none"/>
        </w:rPr>
        <w:t xml:space="preserve"> 省、市、县人民政府应当鼓励和引导</w:t>
      </w:r>
      <w:r>
        <w:rPr>
          <w:rFonts w:ascii="仿宋" w:hAnsi="仿宋" w:cs="仿宋" w:hint="eastAsia" w:eastAsia="仿宋"/>
          <w:sz w:val="32"/>
          <w:szCs w:val="32"/>
          <w:u w:val="none"/>
        </w:rPr>
        <w:t>各类资本参与国有企业改制重组，建立健全多元股东的制衡机制，切实维护各类股东的合法权益。支持国有企业在传统支柱、高新技术、战略性新兴产业等重点领域，通过投资入股、联合投资、并购重组等方式，与非国有企业进行股权融合、战略合作、资源整合。</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第十三条  </w:t>
      </w:r>
      <w:r>
        <w:rPr>
          <w:rFonts w:ascii="仿宋" w:hAnsi="仿宋" w:cs="仿宋" w:hint="eastAsia" w:eastAsia="仿宋"/>
          <w:sz w:val="32"/>
          <w:szCs w:val="32"/>
        </w:rPr>
        <w:t>金融机构对同等申请条件下各类企业的贷款利率和贷款条件应当保持一致，不得对贷款审批设置歧视性规定。</w:t>
      </w:r>
    </w:p>
    <w:p>
      <w:pPr>
        <w:pStyle w:val="Normal"/>
        <w:ind w:firstLine="656" w:end="0"/>
        <w:rPr>
          <w:rFonts w:ascii="仿宋" w:hAnsi="仿宋" w:eastAsia="仿宋" w:cs="仿宋" w:hint="eastAsia"/>
          <w:color w:val="000000"/>
          <w:sz w:val="32"/>
          <w:szCs w:val="32"/>
          <w:shd w:fill="FFFFFF" w:val="clear"/>
        </w:rPr>
      </w:pPr>
      <w:r>
        <w:rPr>
          <w:rFonts w:ascii="仿宋" w:hAnsi="仿宋" w:cs="仿宋" w:hint="eastAsia" w:eastAsia="仿宋"/>
          <w:color w:val="000000"/>
          <w:sz w:val="32"/>
          <w:szCs w:val="32"/>
          <w:shd w:fill="FFFFFF" w:val="clear"/>
        </w:rPr>
        <w:t>鼓励和引导金融机构减免服务收费、优化服务流程，</w:t>
      </w:r>
      <w:r>
        <w:rPr>
          <w:rFonts w:ascii="仿宋" w:hAnsi="仿宋" w:cs="仿宋" w:hint="eastAsia" w:eastAsia="仿宋"/>
          <w:sz w:val="32"/>
          <w:szCs w:val="32"/>
        </w:rPr>
        <w:t>提高对民营企业、小微企业的贷款规模以及比重；</w:t>
      </w:r>
      <w:r>
        <w:rPr>
          <w:rFonts w:ascii="仿宋" w:hAnsi="仿宋" w:cs="仿宋" w:hint="eastAsia" w:eastAsia="仿宋"/>
          <w:color w:val="000000"/>
          <w:sz w:val="32"/>
          <w:szCs w:val="32"/>
          <w:shd w:fill="FFFFFF" w:val="clear"/>
        </w:rPr>
        <w:t>规范企业融资相关的担保费、评估费、公证费等附加手续费收费行为，合理制定收费标准，减少企业融资附加费用。</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xml:space="preserve">  鼓励金融机构对市场前景好、</w:t>
      </w:r>
      <w:r>
        <w:rPr>
          <w:rFonts w:ascii="仿宋" w:hAnsi="仿宋" w:cs="仿宋" w:hint="eastAsia" w:eastAsia="仿宋"/>
          <w:sz w:val="32"/>
          <w:szCs w:val="32"/>
        </w:rPr>
        <w:t>诚信经营但暂时有困难的企业采取不断贷、不抽贷等资金扶持措施，支持企</w:t>
      </w:r>
      <w:r>
        <w:rPr>
          <w:rFonts w:ascii="仿宋" w:hAnsi="仿宋" w:cs="仿宋" w:hint="eastAsia" w:eastAsia="仿宋"/>
          <w:sz w:val="32"/>
          <w:szCs w:val="32"/>
        </w:rPr>
        <w:t>业正常经营融资需求。推广小微企业无还本续贷模式，建立无还本续贷企业名单制度，提高无还本续贷笔数及金额占比。</w:t>
      </w:r>
    </w:p>
    <w:p>
      <w:pPr>
        <w:pStyle w:val="Normal"/>
        <w:ind w:firstLine="656" w:end="0"/>
        <w:rPr>
          <w:rFonts w:ascii="仿宋" w:hAnsi="仿宋" w:eastAsia="仿宋" w:cs="仿宋" w:hint="eastAsia"/>
          <w:sz w:val="32"/>
          <w:szCs w:val="32"/>
        </w:rPr>
      </w:pPr>
      <w:r>
        <w:rPr>
          <w:rFonts w:ascii="仿宋" w:hAnsi="仿宋" w:cs="仿宋" w:hint="eastAsia" w:eastAsia="仿宋"/>
          <w:sz w:val="32"/>
          <w:szCs w:val="32"/>
        </w:rPr>
        <w:t>鼓励金融机构扩大出口信用保险保单融资和出口退税账户质押融资，减轻进出口企业融资负担。</w:t>
      </w:r>
    </w:p>
    <w:p>
      <w:pPr>
        <w:pStyle w:val="Normal"/>
        <w:spacing w:lineRule="exact" w:line="600"/>
        <w:ind w:firstLineChars="198" w:startChars="0" w:start="0" w:endChars="0" w:end="0"/>
        <w:rPr>
          <w:rFonts w:ascii="仿宋" w:hAnsi="仿宋" w:eastAsia="仿宋" w:cs="仿宋" w:hint="eastAsia"/>
          <w:color w:val="000000"/>
          <w:sz w:val="32"/>
          <w:szCs w:val="32"/>
          <w:shd w:fill="FFFFFF" w:val="clear"/>
        </w:rPr>
      </w:pPr>
      <w:r>
        <w:rPr>
          <w:rFonts w:ascii="黑体" w:hAnsi="黑体" w:cs="黑体" w:hint="eastAsia" w:eastAsia="黑体"/>
          <w:sz w:val="32"/>
          <w:szCs w:val="32"/>
        </w:rPr>
        <w:t>第十五条</w:t>
      </w:r>
      <w:r>
        <w:rPr>
          <w:rFonts w:ascii="仿宋" w:hAnsi="仿宋" w:cs="仿宋" w:hint="eastAsia" w:eastAsia="仿宋"/>
          <w:sz w:val="32"/>
          <w:szCs w:val="32"/>
        </w:rPr>
        <w:t xml:space="preserve"> </w:t>
      </w:r>
      <w:r>
        <w:rPr>
          <w:rFonts w:ascii="Times New Roman" w:hAnsi="Times New Roman" w:cs="Times New Roman" w:hint="eastAsia" w:eastAsia="仿宋_GB2312"/>
          <w:bCs/>
          <w:sz w:val="32"/>
          <w:szCs w:val="32"/>
        </w:rPr>
        <w:t xml:space="preserve"> </w:t>
      </w:r>
      <w:r>
        <w:rPr>
          <w:rFonts w:ascii="仿宋" w:hAnsi="仿宋" w:cs="仿宋" w:hint="eastAsia" w:eastAsia="仿宋"/>
          <w:sz w:val="32"/>
          <w:szCs w:val="32"/>
        </w:rPr>
        <w:t>省、市、县人民政府及其有关部门应当优化支持金融业发展的政策服务环境，</w:t>
      </w:r>
      <w:r>
        <w:rPr>
          <w:rFonts w:ascii="仿宋" w:hAnsi="仿宋" w:cs="仿宋" w:hint="eastAsia" w:eastAsia="仿宋"/>
          <w:sz w:val="32"/>
          <w:szCs w:val="32"/>
          <w:shd w:fill="FFFFFF" w:val="clear"/>
        </w:rPr>
        <w:t>建立银企对接长效机制，畅通信息交流渠道，为金融机构了解产业政策、重大改革、政策法规等方面的信息提供便利。</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第十六条 </w:t>
      </w:r>
      <w:r>
        <w:rPr>
          <w:rFonts w:ascii="仿宋" w:hAnsi="仿宋" w:cs="仿宋" w:hint="eastAsia" w:eastAsia="仿宋"/>
          <w:sz w:val="32"/>
          <w:szCs w:val="32"/>
        </w:rPr>
        <w:t xml:space="preserve"> </w:t>
      </w:r>
      <w:r>
        <w:rPr>
          <w:rFonts w:ascii="仿宋" w:hAnsi="仿宋" w:cs="仿宋" w:hint="eastAsia" w:eastAsia="仿宋"/>
          <w:sz w:val="32"/>
          <w:szCs w:val="32"/>
        </w:rPr>
        <w:t>建立和完善政府性再担保体系，扩大</w:t>
      </w:r>
      <w:r>
        <w:rPr>
          <w:rFonts w:ascii="仿宋" w:hAnsi="仿宋" w:cs="仿宋" w:hint="eastAsia" w:eastAsia="仿宋"/>
          <w:i w:val="false"/>
          <w:caps w:val="false"/>
          <w:smallCaps w:val="false"/>
          <w:color w:val="000000"/>
          <w:spacing w:val="0"/>
          <w:sz w:val="32"/>
          <w:szCs w:val="32"/>
          <w:shd w:fill="FFFFFF" w:val="clear"/>
        </w:rPr>
        <w:t>银行业金融机构与融资担保公司业务合作</w:t>
      </w:r>
      <w:r>
        <w:rPr>
          <w:rFonts w:ascii="仿宋" w:hAnsi="仿宋" w:cs="仿宋" w:hint="eastAsia" w:eastAsia="仿宋"/>
          <w:sz w:val="32"/>
          <w:szCs w:val="32"/>
        </w:rPr>
        <w:t>，有效服务企业融资需求。鼓励和支持通过新设、控股和重组等方式，培育以政府出资为主、主业突出、经营规范、实力较强、信誉较好、影响力较大的政府性融资担保机构。可以建立融资担保风险补偿专项资金，作为政府性融资担保公司为企业提供融资担保的风险补偿。</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u w:val="none"/>
        </w:rPr>
        <w:t>第十七条</w:t>
      </w:r>
      <w:r>
        <w:rPr>
          <w:rFonts w:ascii="仿宋" w:hAnsi="仿宋" w:cs="仿宋" w:hint="eastAsia" w:eastAsia="仿宋"/>
          <w:sz w:val="32"/>
          <w:szCs w:val="32"/>
          <w:u w:val="none"/>
        </w:rPr>
        <w:t xml:space="preserve">  </w:t>
      </w:r>
      <w:r>
        <w:rPr>
          <w:rFonts w:ascii="仿宋" w:hAnsi="仿宋" w:cs="仿宋" w:hint="eastAsia" w:eastAsia="仿宋"/>
          <w:sz w:val="32"/>
          <w:szCs w:val="32"/>
        </w:rPr>
        <w:t>省、市、县人民政府及其有关部门应当支持企业发展高新技术产业、战略性新兴产业、先进制造业以及传统制造业改造升级。鼓励企业加强研发创新投入，提升产品质量，创建品牌，推动企业向数字化转型和绿色环保发展。</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u w:val="none"/>
        </w:rPr>
        <w:t>第十八条</w:t>
      </w:r>
      <w:r>
        <w:rPr>
          <w:rFonts w:ascii="仿宋" w:hAnsi="仿宋" w:cs="仿宋" w:hint="eastAsia" w:eastAsia="仿宋"/>
          <w:sz w:val="32"/>
          <w:szCs w:val="32"/>
          <w:u w:val="none"/>
        </w:rPr>
        <w:t xml:space="preserve">  </w:t>
      </w:r>
      <w:r>
        <w:rPr>
          <w:rFonts w:ascii="仿宋" w:hAnsi="仿宋" w:cs="仿宋" w:hint="eastAsia" w:eastAsia="仿宋"/>
          <w:sz w:val="32"/>
          <w:szCs w:val="32"/>
        </w:rPr>
        <w:t>省、市、县人民政府及其有关部门应当建立健全以知识、技术、管理、技能等创新要素按贡献参与分配的收入分配机制和人才流动前期培养补偿机制，实行股权、期权等中长期激励政策。</w:t>
      </w:r>
    </w:p>
    <w:p>
      <w:pPr>
        <w:pStyle w:val="Normal"/>
        <w:rPr>
          <w:rFonts w:ascii="仿宋" w:hAnsi="仿宋" w:eastAsia="仿宋" w:cs="仿宋" w:hint="eastAsia"/>
          <w:sz w:val="32"/>
          <w:szCs w:val="32"/>
        </w:rPr>
      </w:pPr>
      <w:r>
        <w:rPr>
          <w:rFonts w:ascii="仿宋" w:hAnsi="仿宋" w:cs="仿宋" w:hint="eastAsia" w:eastAsia="仿宋"/>
          <w:sz w:val="32"/>
          <w:szCs w:val="32"/>
        </w:rPr>
        <w:t>　　鼓励高等院校毕业生及其他人才在本地就业创业，统筹产业发展，加强重点行业、重要领域、战略性新兴产业人才培养。</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第十九条 </w:t>
      </w:r>
      <w:r>
        <w:rPr>
          <w:rFonts w:ascii="仿宋" w:hAnsi="仿宋" w:cs="仿宋" w:hint="eastAsia" w:eastAsia="仿宋"/>
          <w:sz w:val="32"/>
          <w:szCs w:val="32"/>
        </w:rPr>
        <w:t xml:space="preserve"> 鼓励、支持企业根据实际需求自主引进高层次、高技能人才。企业引进和培养的技术创新人才，可以按照国家和省有关规定享受项目申报、科研条件保障、户籍、子女入学、配偶安置等方面优惠政策。</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xml:space="preserve">  省、市、县人民政府及其有关部门为应对突发事件，依法向企业征用的财产，在使用完毕或者突发事件应急处置结束后，应当及时返还。财产被征用或者征用后毁损、灭失的，应当给予合理补偿；经营性财产被征用且遭受经济损失的，应当在补偿财产损失的同时给予经营补助。</w:t>
      </w:r>
    </w:p>
    <w:p>
      <w:pPr>
        <w:pStyle w:val="Normal"/>
        <w:rPr>
          <w:rFonts w:ascii="仿宋" w:hAnsi="仿宋" w:eastAsia="仿宋" w:cs="仿宋" w:hint="eastAsia"/>
          <w:bCs/>
          <w:sz w:val="32"/>
          <w:szCs w:val="36"/>
        </w:rPr>
      </w:pPr>
      <w:r>
        <w:rPr>
          <w:rFonts w:ascii="仿宋" w:hAnsi="仿宋" w:cs="仿宋" w:hint="eastAsia" w:eastAsia="仿宋"/>
          <w:sz w:val="32"/>
          <w:szCs w:val="32"/>
        </w:rPr>
        <w:t xml:space="preserve">　  </w:t>
      </w:r>
      <w:r>
        <w:rPr>
          <w:rFonts w:ascii="黑体" w:hAnsi="黑体" w:cs="黑体" w:hint="eastAsia" w:eastAsia="黑体"/>
          <w:sz w:val="32"/>
          <w:szCs w:val="32"/>
        </w:rPr>
        <w:t>第二十一条</w:t>
      </w:r>
      <w:r>
        <w:rPr>
          <w:rFonts w:ascii="仿宋" w:hAnsi="仿宋" w:cs="仿宋" w:hint="eastAsia" w:eastAsia="仿宋"/>
          <w:sz w:val="32"/>
          <w:szCs w:val="32"/>
        </w:rPr>
        <w:t xml:space="preserve">  </w:t>
      </w:r>
      <w:r>
        <w:rPr>
          <w:rFonts w:ascii="仿宋" w:hAnsi="仿宋" w:cs="仿宋" w:hint="eastAsia" w:eastAsia="仿宋"/>
          <w:bCs/>
          <w:sz w:val="32"/>
          <w:szCs w:val="36"/>
        </w:rPr>
        <w:t>省、市、县人民政府及其有关部门向企业依法作出的政策承诺以及依法订立的合同，不得以政府换届、相关责任人变化或者当地政府政策调整等为由不履行、不兑现。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省、市、县人民政府及其有关部门在给予企业财政资金支持、费用减免等方面的现有政策</w:t>
      </w:r>
      <w:r>
        <w:rPr>
          <w:rFonts w:ascii="仿宋" w:hAnsi="仿宋" w:cs="仿宋" w:hint="eastAsia" w:eastAsia="仿宋"/>
          <w:sz w:val="32"/>
          <w:szCs w:val="32"/>
        </w:rPr>
        <w:t>承诺与原政策承诺</w:t>
      </w:r>
      <w:r>
        <w:rPr>
          <w:rFonts w:ascii="仿宋" w:hAnsi="仿宋" w:cs="仿宋" w:hint="eastAsia" w:eastAsia="仿宋"/>
          <w:sz w:val="32"/>
          <w:szCs w:val="32"/>
        </w:rPr>
        <w:t>的合法优惠条件不一致的，</w:t>
      </w:r>
      <w:r>
        <w:rPr>
          <w:rFonts w:ascii="仿宋" w:hAnsi="仿宋" w:cs="仿宋" w:hint="eastAsia" w:eastAsia="仿宋"/>
          <w:sz w:val="32"/>
          <w:szCs w:val="32"/>
        </w:rPr>
        <w:t>按照</w:t>
      </w:r>
      <w:r>
        <w:rPr>
          <w:rFonts w:ascii="仿宋" w:hAnsi="仿宋" w:cs="仿宋" w:hint="eastAsia" w:eastAsia="仿宋"/>
          <w:sz w:val="32"/>
          <w:szCs w:val="32"/>
        </w:rPr>
        <w:t>有利于企业的原则执行。</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第二十二条 </w:t>
      </w:r>
      <w:r>
        <w:rPr>
          <w:rFonts w:ascii="仿宋" w:hAnsi="仿宋" w:cs="仿宋" w:hint="eastAsia" w:eastAsia="仿宋"/>
          <w:sz w:val="32"/>
          <w:szCs w:val="32"/>
        </w:rPr>
        <w:t xml:space="preserve"> 省、市、县人民政府及其有关部门以及使用财政资金设立的项目公司从事民事活动，应当与其他企业平等行使权利、履行义务、承担责任，不得拖欠工程款、货款和劳动报酬，不得单方面作出使用资产折抵款项等决定。</w:t>
      </w:r>
    </w:p>
    <w:p>
      <w:pPr>
        <w:pStyle w:val="Normal"/>
        <w:ind w:firstLineChars="200" w:startChars="0" w:start="0" w:endChars="0" w:end="0"/>
        <w:rPr>
          <w:rFonts w:ascii="仿宋" w:hAnsi="仿宋" w:eastAsia="仿宋" w:cs="仿宋" w:hint="eastAsia"/>
          <w:sz w:val="32"/>
          <w:szCs w:val="32"/>
          <w:u w:val="none"/>
        </w:rPr>
      </w:pPr>
      <w:r>
        <w:rPr>
          <w:rFonts w:ascii="黑体" w:hAnsi="黑体" w:cs="黑体" w:hint="eastAsia" w:eastAsia="黑体"/>
          <w:sz w:val="32"/>
          <w:szCs w:val="32"/>
        </w:rPr>
        <w:t>第二十三条</w:t>
      </w:r>
      <w:r>
        <w:rPr>
          <w:rFonts w:ascii="仿宋" w:hAnsi="仿宋" w:cs="仿宋" w:hint="eastAsia" w:eastAsia="仿宋"/>
          <w:sz w:val="32"/>
          <w:szCs w:val="32"/>
          <w:u w:val="none"/>
        </w:rPr>
        <w:t xml:space="preserve">  税务机关应当落实各项税收优惠政策并对企业进行政策宣传和辅导。</w:t>
      </w:r>
    </w:p>
    <w:p>
      <w:pPr>
        <w:pStyle w:val="Normal"/>
        <w:rPr>
          <w:rFonts w:ascii="仿宋" w:hAnsi="仿宋" w:eastAsia="仿宋" w:cs="仿宋" w:hint="eastAsia"/>
          <w:sz w:val="32"/>
          <w:szCs w:val="32"/>
          <w:u w:val="none"/>
        </w:rPr>
      </w:pPr>
      <w:r>
        <w:rPr>
          <w:rFonts w:ascii="仿宋" w:hAnsi="仿宋" w:cs="仿宋" w:hint="eastAsia" w:eastAsia="仿宋"/>
          <w:sz w:val="32"/>
          <w:szCs w:val="32"/>
          <w:u w:val="none"/>
        </w:rPr>
        <w:t>　　确有特殊困难、不能按期缴纳税款的企业，</w:t>
      </w:r>
      <w:r>
        <w:rPr>
          <w:rFonts w:ascii="仿宋" w:hAnsi="仿宋" w:cs="仿宋" w:hint="eastAsia" w:eastAsia="仿宋"/>
          <w:sz w:val="32"/>
          <w:szCs w:val="32"/>
          <w:u w:val="none"/>
        </w:rPr>
        <w:t>可以提出申请，经税务机关批准，可以延期缴纳。</w:t>
      </w:r>
    </w:p>
    <w:p>
      <w:pPr>
        <w:pStyle w:val="Normal"/>
        <w:ind w:firstLineChars="200" w:startChars="0" w:start="0" w:endChars="0" w:end="0"/>
        <w:rPr>
          <w:rFonts w:ascii="仿宋" w:hAnsi="仿宋" w:eastAsia="仿宋" w:cs="仿宋" w:hint="eastAsia"/>
          <w:sz w:val="32"/>
          <w:szCs w:val="32"/>
          <w:u w:val="none"/>
        </w:rPr>
      </w:pPr>
      <w:r>
        <w:rPr>
          <w:rFonts w:ascii="黑体" w:hAnsi="黑体" w:cs="黑体" w:hint="eastAsia" w:eastAsia="黑体"/>
          <w:sz w:val="32"/>
          <w:szCs w:val="32"/>
        </w:rPr>
        <w:t>第二十四条</w:t>
      </w:r>
      <w:r>
        <w:rPr>
          <w:rFonts w:ascii="仿宋" w:hAnsi="仿宋" w:cs="仿宋" w:hint="eastAsia" w:eastAsia="仿宋"/>
          <w:sz w:val="32"/>
          <w:szCs w:val="32"/>
        </w:rPr>
        <w:t xml:space="preserve">  政府有关部门应当依法建立权威、统一、可查询的企业信用记录，加强互联互通和信息共享</w:t>
      </w:r>
      <w:r>
        <w:rPr>
          <w:rFonts w:ascii="仿宋" w:hAnsi="仿宋" w:cs="仿宋" w:hint="eastAsia" w:eastAsia="仿宋"/>
          <w:sz w:val="32"/>
          <w:szCs w:val="32"/>
        </w:rPr>
        <w:t>。对纳入失信联合惩戒对象名单的，由有关部门和单位依法依规实施联合惩戒。在规定期限内纠正失信行为、消除不良影响并按规定完成信用修复的，不再将其作为联合惩戒对象</w:t>
      </w:r>
      <w:r>
        <w:rPr>
          <w:rFonts w:ascii="仿宋" w:hAnsi="仿宋" w:cs="仿宋" w:hint="eastAsia" w:eastAsia="仿宋"/>
          <w:sz w:val="32"/>
          <w:szCs w:val="32"/>
          <w:u w:val="none"/>
        </w:rPr>
        <w:t>，并及时移出联合惩戒对象名单。</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第二十五条 </w:t>
      </w:r>
      <w:r>
        <w:rPr>
          <w:rFonts w:ascii="仿宋" w:hAnsi="仿宋" w:cs="仿宋" w:hint="eastAsia" w:eastAsia="仿宋"/>
          <w:sz w:val="32"/>
          <w:szCs w:val="32"/>
        </w:rPr>
        <w:t xml:space="preserve"> 人力资源社会保障部门应当会同同级工会、</w:t>
      </w:r>
      <w:r>
        <w:rPr>
          <w:rFonts w:ascii="仿宋" w:hAnsi="仿宋" w:cs="仿宋" w:hint="eastAsia" w:eastAsia="仿宋"/>
          <w:sz w:val="32"/>
          <w:szCs w:val="32"/>
        </w:rPr>
        <w:t>工商业联合会、企业家协会以及有关企业方代表建立劳动关系三方协商机制，对劳动争议的预防、集体劳动争议和劳动关系突发事件的处理等重大问题进行协商，维护企业和职工合法权益，促进职工与企业、企业经营者之间的和谐与合作。</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新闻媒体对企业生产经营活动和履行社会责任情况的报道应当客观、真实、公正，遵守法律法规和职业道德，不得夸大事实或者进行虚假报道，不得以披露负面信息相要挟向企业索取财物或者谋取其他利益。</w:t>
      </w:r>
    </w:p>
    <w:p>
      <w:pPr>
        <w:pStyle w:val="Normal"/>
        <w:rPr>
          <w:rFonts w:ascii="仿宋" w:hAnsi="仿宋" w:eastAsia="仿宋" w:cs="仿宋" w:hint="eastAsia"/>
          <w:sz w:val="32"/>
          <w:szCs w:val="32"/>
        </w:rPr>
      </w:pPr>
      <w:r>
        <w:rPr>
          <w:rFonts w:ascii="仿宋" w:hAnsi="仿宋" w:cs="仿宋" w:hint="eastAsia" w:eastAsia="仿宋"/>
          <w:sz w:val="32"/>
          <w:szCs w:val="32"/>
        </w:rPr>
        <w:t>　　对于虚假或者失实的报道，新闻媒体应当及时澄清，消除影响；致使企业合法权益受到损失时，应当依法承担法律责任。</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第二十七条</w:t>
      </w:r>
      <w:r>
        <w:rPr>
          <w:rFonts w:ascii="仿宋" w:hAnsi="仿宋" w:cs="仿宋" w:hint="eastAsia" w:eastAsia="仿宋"/>
          <w:sz w:val="32"/>
          <w:szCs w:val="32"/>
        </w:rPr>
        <w:t xml:space="preserve">  任何单位和个人有权向有关机关投诉举报侵害企</w:t>
      </w:r>
      <w:r>
        <w:rPr>
          <w:rFonts w:ascii="仿宋" w:hAnsi="仿宋" w:cs="仿宋" w:hint="eastAsia" w:eastAsia="仿宋"/>
          <w:sz w:val="32"/>
          <w:szCs w:val="32"/>
        </w:rPr>
        <w:t>业和企业经营者合法权益的行为。</w:t>
      </w:r>
    </w:p>
    <w:p>
      <w:pPr>
        <w:pStyle w:val="Normal"/>
        <w:rPr>
          <w:rFonts w:ascii="仿宋" w:hAnsi="仿宋" w:eastAsia="仿宋" w:cs="仿宋" w:hint="eastAsia"/>
          <w:sz w:val="32"/>
          <w:szCs w:val="32"/>
        </w:rPr>
      </w:pPr>
      <w:r>
        <w:rPr>
          <w:rFonts w:ascii="仿宋" w:hAnsi="仿宋" w:cs="仿宋" w:hint="eastAsia" w:eastAsia="仿宋"/>
          <w:sz w:val="32"/>
          <w:szCs w:val="32"/>
        </w:rPr>
        <w:t>　　受理投诉举报的部门应当对投诉举报人及举报信息严格保密，依法保护投诉举报人合法权益。</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第二十八条</w:t>
      </w:r>
      <w:r>
        <w:rPr>
          <w:rFonts w:ascii="仿宋" w:hAnsi="仿宋" w:cs="仿宋" w:hint="eastAsia" w:eastAsia="仿宋"/>
          <w:sz w:val="32"/>
          <w:szCs w:val="32"/>
        </w:rPr>
        <w:t xml:space="preserve">  政府有关部门应当及时查处制售假冒伪劣产品、欺行霸市、敲诈勒索、金融诈骗、合同诈骗、串通投标、强迫交易、损害商誉等违法行为，依法维护市场经营秩序。</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第二十九条</w:t>
      </w:r>
      <w:r>
        <w:rPr>
          <w:rFonts w:ascii="仿宋" w:hAnsi="仿宋" w:cs="仿宋" w:hint="eastAsia" w:eastAsia="仿宋"/>
          <w:sz w:val="32"/>
          <w:szCs w:val="32"/>
        </w:rPr>
        <w:t xml:space="preserve">  企业和企业经营者因涉企经济纠纷受到威胁、恐吓、人身攻击、人身伤害、非法限制人身自由等违法行为侵害时，有关部门应当依法及时查处。</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第三十条</w:t>
      </w:r>
      <w:r>
        <w:rPr>
          <w:rFonts w:ascii="仿宋" w:hAnsi="仿宋" w:cs="仿宋" w:hint="eastAsia" w:eastAsia="仿宋"/>
          <w:sz w:val="32"/>
          <w:szCs w:val="32"/>
        </w:rPr>
        <w:t xml:space="preserve">  行业协会、商会等社会组织应当维护市场秩序，依法规范自身行为，不得对已取消的资格资质变相进行认定，不得干扰企业正常生产经营或者扰乱市场秩序，不得组织企业从事法律法规禁止的垄断行为，不得依靠代行政府职能或者利用行政资源擅自设立收费项目、提高收费标准，不得强制或者变相强制企业加入</w:t>
      </w:r>
      <w:r>
        <w:rPr>
          <w:rFonts w:ascii="仿宋" w:hAnsi="仿宋" w:cs="仿宋" w:hint="eastAsia" w:eastAsia="仿宋"/>
          <w:sz w:val="32"/>
          <w:szCs w:val="32"/>
        </w:rPr>
        <w:t>其组织。</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第三十一条 </w:t>
      </w:r>
      <w:r>
        <w:rPr>
          <w:rFonts w:ascii="仿宋" w:hAnsi="仿宋" w:cs="仿宋" w:hint="eastAsia" w:eastAsia="仿宋"/>
          <w:sz w:val="32"/>
          <w:szCs w:val="32"/>
        </w:rPr>
        <w:t xml:space="preserve"> 有关部门应当建立健全知识产权</w:t>
      </w:r>
      <w:r>
        <w:rPr>
          <w:rFonts w:ascii="仿宋" w:hAnsi="仿宋" w:cs="仿宋" w:hint="eastAsia" w:eastAsia="仿宋"/>
          <w:sz w:val="32"/>
          <w:szCs w:val="32"/>
        </w:rPr>
        <w:t>维权</w:t>
      </w:r>
      <w:r>
        <w:rPr>
          <w:rFonts w:ascii="仿宋" w:hAnsi="仿宋" w:cs="仿宋" w:hint="eastAsia" w:eastAsia="仿宋"/>
          <w:sz w:val="32"/>
          <w:szCs w:val="32"/>
        </w:rPr>
        <w:t>援助机制，完善知识产权快速审查、快速确权、快速维权机制，加大对企业知识产权</w:t>
      </w:r>
      <w:r>
        <w:rPr>
          <w:rFonts w:ascii="仿宋" w:hAnsi="仿宋" w:cs="仿宋" w:hint="eastAsia" w:eastAsia="仿宋"/>
          <w:sz w:val="32"/>
          <w:szCs w:val="32"/>
        </w:rPr>
        <w:t>的保护</w:t>
      </w:r>
      <w:r>
        <w:rPr>
          <w:rFonts w:ascii="仿宋" w:hAnsi="仿宋" w:cs="仿宋" w:hint="eastAsia" w:eastAsia="仿宋"/>
          <w:sz w:val="32"/>
          <w:szCs w:val="32"/>
        </w:rPr>
        <w:t>力度。</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第三十二条</w:t>
      </w:r>
      <w:r>
        <w:rPr>
          <w:rFonts w:ascii="仿宋" w:hAnsi="仿宋" w:cs="仿宋" w:hint="eastAsia" w:eastAsia="仿宋"/>
          <w:sz w:val="32"/>
          <w:szCs w:val="32"/>
        </w:rPr>
        <w:t xml:space="preserve">  行政、司法机关办理涉及企业的各类案件，应当</w:t>
      </w:r>
      <w:r>
        <w:rPr>
          <w:rFonts w:ascii="仿宋" w:hAnsi="仿宋" w:cs="仿宋" w:hint="eastAsia" w:eastAsia="仿宋"/>
          <w:sz w:val="32"/>
          <w:szCs w:val="32"/>
        </w:rPr>
        <w:t>充分调查，依法、依规、审慎立案；</w:t>
      </w:r>
      <w:r>
        <w:rPr>
          <w:rFonts w:ascii="仿宋" w:hAnsi="仿宋" w:cs="仿宋" w:hint="eastAsia" w:eastAsia="仿宋"/>
          <w:kern w:val="0"/>
          <w:sz w:val="32"/>
          <w:szCs w:val="32"/>
        </w:rPr>
        <w:t>规范使用调查性侦查措施</w:t>
      </w:r>
      <w:r>
        <w:rPr>
          <w:rFonts w:ascii="仿宋" w:hAnsi="仿宋" w:cs="仿宋" w:hint="eastAsia" w:eastAsia="仿宋"/>
          <w:sz w:val="32"/>
          <w:szCs w:val="32"/>
        </w:rPr>
        <w:t>；依法慎用羁押性强制措施</w:t>
      </w:r>
      <w:r>
        <w:rPr>
          <w:rFonts w:ascii="仿宋" w:hAnsi="仿宋" w:cs="仿宋" w:hint="eastAsia" w:eastAsia="仿宋"/>
          <w:kern w:val="0"/>
          <w:sz w:val="32"/>
          <w:szCs w:val="32"/>
        </w:rPr>
        <w:t>。</w:t>
      </w:r>
      <w:r>
        <w:rPr>
          <w:rFonts w:ascii="仿宋" w:hAnsi="仿宋" w:cs="仿宋" w:hint="eastAsia" w:eastAsia="仿宋"/>
          <w:sz w:val="32"/>
          <w:szCs w:val="32"/>
        </w:rPr>
        <w:t>严格区分经济纠纷与经济犯罪的界限，防止采用刑事手段不当干预经济纠纷，防止将民事责任变为刑事责任</w:t>
      </w:r>
      <w:r>
        <w:rPr>
          <w:rFonts w:ascii="仿宋" w:hAnsi="仿宋" w:cs="仿宋" w:hint="eastAsia" w:eastAsia="仿宋"/>
          <w:color w:val="333333"/>
          <w:kern w:val="0"/>
          <w:sz w:val="32"/>
          <w:szCs w:val="32"/>
        </w:rPr>
        <w:t>。严格</w:t>
      </w:r>
      <w:r>
        <w:rPr>
          <w:rFonts w:ascii="仿宋" w:hAnsi="仿宋" w:cs="仿宋" w:hint="eastAsia" w:eastAsia="仿宋"/>
          <w:kern w:val="0"/>
          <w:sz w:val="32"/>
          <w:szCs w:val="32"/>
        </w:rPr>
        <w:t>区分企业财产与个人财产、涉案人员个人财产与家庭成员财产，保护企业、企业经营者及利益关系人的合法权益。</w:t>
      </w:r>
    </w:p>
    <w:p>
      <w:pPr>
        <w:pStyle w:val="Normal"/>
        <w:rPr>
          <w:rFonts w:ascii="仿宋" w:hAnsi="仿宋" w:eastAsia="仿宋" w:cs="仿宋" w:hint="eastAsia"/>
          <w:sz w:val="32"/>
          <w:szCs w:val="32"/>
        </w:rPr>
      </w:pPr>
      <w:r>
        <w:rPr>
          <w:rFonts w:ascii="仿宋" w:hAnsi="仿宋" w:cs="仿宋" w:hint="eastAsia" w:eastAsia="仿宋"/>
          <w:sz w:val="32"/>
          <w:szCs w:val="32"/>
        </w:rPr>
        <w:t>　　完善办理涉企案件的监督制约机制，防止和纠正对企业违法立案、越权办案、违反程序、滥用刑事追诉权插手经济纠纷等行为。加强对企业债务纠纷、股权纠纷、劳动争议、工伤赔偿等案件的监督。</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第三十三条</w:t>
      </w:r>
      <w:r>
        <w:rPr>
          <w:rFonts w:ascii="仿宋" w:hAnsi="仿宋" w:cs="仿宋" w:hint="eastAsia" w:eastAsia="仿宋"/>
          <w:sz w:val="32"/>
          <w:szCs w:val="32"/>
        </w:rPr>
        <w:t xml:space="preserve"> </w:t>
      </w:r>
      <w:r>
        <w:rPr>
          <w:rFonts w:ascii="仿宋" w:hAnsi="仿宋" w:cs="仿宋" w:hint="eastAsia" w:eastAsia="仿宋"/>
          <w:sz w:val="32"/>
          <w:szCs w:val="32"/>
        </w:rPr>
        <w:t>行政、司法机关</w:t>
      </w:r>
      <w:r>
        <w:rPr>
          <w:rFonts w:ascii="仿宋" w:hAnsi="仿宋" w:cs="仿宋" w:hint="eastAsia" w:eastAsia="仿宋"/>
          <w:kern w:val="0"/>
          <w:sz w:val="32"/>
          <w:szCs w:val="32"/>
        </w:rPr>
        <w:t>查封、扣押、冻结以及处置涉案财物，应当依照法定条件和程序进行，不得超权限、超范围、超数额、超时限查封、扣押、冻结。确需</w:t>
      </w:r>
      <w:r>
        <w:rPr>
          <w:rFonts w:ascii="仿宋" w:hAnsi="仿宋" w:cs="仿宋" w:hint="eastAsia" w:eastAsia="仿宋"/>
          <w:sz w:val="32"/>
          <w:szCs w:val="32"/>
        </w:rPr>
        <w:t>对企业采取查封、扣押、冻结等强制措施的，除依法需责令关闭企业的情形外，在条件允许的情况下，应当为企业预留必要的流动资金和往来账户；对企业正在投入生产经营和正在用于科技创新、产品研发的设备、技术资料和资金等，一般不予查封、扣押、冻结；确需提取违法证据的，可以采取拍照、复制等方式提取。</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sz w:val="32"/>
          <w:szCs w:val="32"/>
        </w:rPr>
        <w:t>第三十四条</w:t>
      </w:r>
      <w:r>
        <w:rPr>
          <w:rFonts w:ascii="仿宋" w:hAnsi="仿宋" w:cs="仿宋" w:hint="eastAsia" w:eastAsia="仿宋"/>
          <w:sz w:val="32"/>
          <w:szCs w:val="32"/>
        </w:rPr>
        <w:t xml:space="preserve">  审判机关对需要立即返还、保障企业正常生产经营活动的执行案件，应当依法优先执行；对涉及企业的重大复杂执行案件</w:t>
      </w:r>
      <w:r>
        <w:rPr>
          <w:rFonts w:ascii="仿宋" w:hAnsi="仿宋" w:cs="仿宋" w:hint="eastAsia" w:eastAsia="仿宋"/>
          <w:sz w:val="32"/>
          <w:szCs w:val="32"/>
        </w:rPr>
        <w:t>，可以</w:t>
      </w:r>
      <w:r>
        <w:rPr>
          <w:rFonts w:ascii="仿宋" w:hAnsi="仿宋" w:cs="仿宋" w:hint="eastAsia" w:eastAsia="仿宋"/>
          <w:sz w:val="32"/>
          <w:szCs w:val="32"/>
        </w:rPr>
        <w:t>依法实行指定执行、交叉执行、联合执行和提级执行，提高执行效率，保障企业合法权益及时实现。</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第三十五条 </w:t>
      </w:r>
      <w:r>
        <w:rPr>
          <w:rFonts w:ascii="仿宋" w:hAnsi="仿宋" w:cs="仿宋" w:hint="eastAsia" w:eastAsia="仿宋"/>
          <w:sz w:val="32"/>
          <w:szCs w:val="32"/>
        </w:rPr>
        <w:t xml:space="preserve"> 检</w:t>
      </w:r>
      <w:r>
        <w:rPr>
          <w:rFonts w:ascii="仿宋" w:hAnsi="仿宋" w:cs="仿宋" w:hint="eastAsia" w:eastAsia="仿宋"/>
          <w:sz w:val="32"/>
          <w:szCs w:val="32"/>
        </w:rPr>
        <w:t>察机关应当全面审查涉企案件事实、证据，综合分析研判，审慎作出处理决定。依法作出批捕、起诉决定的，积极开展羁押必要性审查工作，对符合法定情形不需要继续羁押的，及时予以释放或者建议变更强制措施。加强对涉企案件的法律监督，</w:t>
      </w:r>
      <w:r>
        <w:rPr>
          <w:rFonts w:ascii="仿宋" w:hAnsi="仿宋" w:cs="仿宋" w:hint="eastAsia" w:eastAsia="仿宋"/>
          <w:sz w:val="32"/>
          <w:szCs w:val="32"/>
        </w:rPr>
        <w:t>综合运用检察监督手段，依法纠正侵害企业合法权益的违法行为。</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第三十六条 </w:t>
      </w:r>
      <w:r>
        <w:rPr>
          <w:rFonts w:ascii="仿宋" w:hAnsi="仿宋" w:cs="仿宋" w:hint="eastAsia" w:eastAsia="仿宋"/>
          <w:sz w:val="32"/>
          <w:szCs w:val="32"/>
        </w:rPr>
        <w:t xml:space="preserve"> 各级机关和有关单位及其工作人员违反本条例的规定，侵害企业和企业经营者合法权益的，由有权机关责令改正；情节严重的，对直接负责的主管人员和其他直接责任人员依法给予处分；造成损失的，依法承担赔偿</w:t>
      </w:r>
      <w:r>
        <w:rPr>
          <w:rFonts w:ascii="仿宋" w:hAnsi="仿宋" w:cs="仿宋" w:hint="eastAsia" w:eastAsia="仿宋"/>
          <w:sz w:val="32"/>
          <w:szCs w:val="32"/>
        </w:rPr>
        <w:t>责任</w:t>
      </w:r>
      <w:r>
        <w:rPr>
          <w:rFonts w:ascii="仿宋" w:hAnsi="仿宋" w:cs="仿宋" w:hint="eastAsia" w:eastAsia="仿宋"/>
          <w:sz w:val="32"/>
          <w:szCs w:val="32"/>
        </w:rPr>
        <w:t>。</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第三十七条 </w:t>
      </w:r>
      <w:r>
        <w:rPr>
          <w:rFonts w:ascii="仿宋" w:hAnsi="仿宋" w:cs="仿宋" w:hint="eastAsia" w:eastAsia="仿宋"/>
          <w:sz w:val="32"/>
          <w:szCs w:val="32"/>
        </w:rPr>
        <w:t xml:space="preserve"> 各级机关和有关单位及其工作人员对侵害企业合法权益的行为不及时查处，对提出投诉举报的单位和个人进行打击报复的，由有权机关责令改正；情节严重的，依据法律法规做出相应处理；对企业权益造成损害的，依法承担赔偿</w:t>
      </w:r>
      <w:r>
        <w:rPr>
          <w:rFonts w:ascii="仿宋" w:hAnsi="仿宋" w:cs="仿宋" w:hint="eastAsia" w:eastAsia="仿宋"/>
          <w:sz w:val="32"/>
          <w:szCs w:val="32"/>
        </w:rPr>
        <w:t>责任；涉嫌犯罪的，依法移送有关机关处理。</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第三十八条</w:t>
      </w:r>
      <w:r>
        <w:rPr>
          <w:rFonts w:ascii="仿宋" w:hAnsi="仿宋" w:cs="仿宋" w:hint="eastAsia" w:eastAsia="仿宋"/>
          <w:sz w:val="32"/>
          <w:szCs w:val="32"/>
        </w:rPr>
        <w:t xml:space="preserve">  各级机关和有关单位及其工作人员索取、收受企业财物，或者谋取其他利益，截留、挪用、私分有关财物的，依法予以追缴；对直接负责的主管人员和其他直接责任人员依法给予</w:t>
      </w:r>
      <w:r>
        <w:rPr>
          <w:rFonts w:ascii="仿宋" w:hAnsi="仿宋" w:cs="仿宋" w:hint="eastAsia" w:eastAsia="仿宋"/>
          <w:sz w:val="32"/>
          <w:szCs w:val="32"/>
        </w:rPr>
        <w:t>处分；涉嫌犯罪的，依法移送有关机关处理。</w:t>
      </w:r>
    </w:p>
    <w:p>
      <w:pPr>
        <w:pStyle w:val="Normal"/>
        <w:ind w:firstLineChars="200" w:startChars="0" w:start="0" w:endChars="0" w:end="0"/>
        <w:rPr>
          <w:rFonts w:ascii="仿宋" w:hAnsi="仿宋" w:eastAsia="仿宋" w:cs="仿宋"/>
          <w:sz w:val="32"/>
          <w:szCs w:val="32"/>
        </w:rPr>
      </w:pPr>
      <w:r>
        <w:rPr>
          <w:rFonts w:ascii="黑体" w:hAnsi="黑体" w:cs="黑体" w:hint="eastAsia" w:eastAsia="黑体"/>
          <w:sz w:val="32"/>
          <w:szCs w:val="32"/>
        </w:rPr>
        <w:t>第三十九条</w:t>
      </w:r>
      <w:r>
        <w:rPr>
          <w:rFonts w:ascii="仿宋" w:hAnsi="仿宋" w:cs="仿宋" w:hint="eastAsia" w:eastAsia="仿宋"/>
          <w:sz w:val="32"/>
          <w:szCs w:val="32"/>
        </w:rPr>
        <w:t xml:space="preserve">  </w:t>
      </w:r>
      <w:r>
        <w:rPr>
          <w:rFonts w:ascii="仿宋" w:hAnsi="仿宋" w:cs="仿宋" w:hint="eastAsia" w:eastAsia="仿宋"/>
          <w:sz w:val="32"/>
          <w:szCs w:val="32"/>
        </w:rPr>
        <w:t>本条例自</w:t>
      </w:r>
      <w:r>
        <w:rPr>
          <w:rFonts w:eastAsia="仿宋" w:cs="仿宋" w:hint="eastAsia" w:ascii="仿宋" w:hAnsi="仿宋"/>
          <w:sz w:val="32"/>
          <w:szCs w:val="32"/>
        </w:rPr>
        <w:t>2020</w:t>
      </w:r>
      <w:r>
        <w:rPr>
          <w:rFonts w:ascii="仿宋" w:hAnsi="仿宋" w:cs="仿宋" w:hint="eastAsia" w:eastAsia="仿宋"/>
          <w:sz w:val="32"/>
          <w:szCs w:val="32"/>
        </w:rPr>
        <w:t>年</w:t>
      </w:r>
      <w:r>
        <w:rPr>
          <w:rFonts w:eastAsia="仿宋" w:cs="仿宋" w:hint="eastAsia" w:ascii="仿宋" w:hAnsi="仿宋"/>
          <w:sz w:val="32"/>
          <w:szCs w:val="32"/>
        </w:rPr>
        <w:t>2</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r>
        <w:rPr>
          <w:rFonts w:eastAsia="仿宋" w:cs="仿宋" w:hint="eastAsia" w:ascii="仿宋" w:hAnsi="仿宋"/>
          <w:sz w:val="32"/>
          <w:szCs w:val="32"/>
        </w:rPr>
        <w:t>2013</w:t>
      </w:r>
      <w:r>
        <w:rPr>
          <w:rFonts w:ascii="仿宋" w:hAnsi="仿宋" w:cs="仿宋" w:hint="eastAsia" w:eastAsia="仿宋"/>
          <w:sz w:val="32"/>
          <w:szCs w:val="32"/>
        </w:rPr>
        <w:t>年</w:t>
      </w:r>
      <w:r>
        <w:rPr>
          <w:rFonts w:eastAsia="仿宋" w:cs="仿宋" w:hint="eastAsia" w:ascii="仿宋" w:hAnsi="仿宋"/>
          <w:sz w:val="32"/>
          <w:szCs w:val="32"/>
        </w:rPr>
        <w:t>11</w:t>
      </w:r>
      <w:r>
        <w:rPr>
          <w:rFonts w:ascii="仿宋" w:hAnsi="仿宋" w:cs="仿宋" w:hint="eastAsia" w:eastAsia="仿宋"/>
          <w:sz w:val="32"/>
          <w:szCs w:val="32"/>
        </w:rPr>
        <w:t>月</w:t>
      </w:r>
      <w:r>
        <w:rPr>
          <w:rFonts w:eastAsia="仿宋" w:cs="仿宋" w:hint="eastAsia" w:ascii="仿宋" w:hAnsi="仿宋"/>
          <w:sz w:val="32"/>
          <w:szCs w:val="32"/>
        </w:rPr>
        <w:t>29</w:t>
      </w:r>
      <w:r>
        <w:rPr>
          <w:rFonts w:ascii="仿宋" w:hAnsi="仿宋" w:cs="仿宋" w:hint="eastAsia" w:eastAsia="仿宋"/>
          <w:sz w:val="32"/>
          <w:szCs w:val="32"/>
        </w:rPr>
        <w:t>日辽宁省第十二届人民代表大会常务委员会第五次会议通过的《辽宁省中小微企业权益保护条例》同时废止。</w:t>
      </w:r>
    </w:p>
    <w:p>
      <w:pPr>
        <w:pStyle w:val="Normal"/>
        <w:spacing w:lineRule="auto" w:line="360"/>
        <w:ind w:firstLineChars="200" w:startChars="0" w:start="0" w:endChars="0" w:end="0"/>
        <w:rPr>
          <w:rFonts w:ascii="仿宋" w:hAnsi="仿宋" w:eastAsia="仿宋" w:cs="仿宋"/>
          <w:sz w:val="32"/>
          <w:szCs w:val="32"/>
        </w:rPr>
      </w:pPr>
      <w:r>
        <w:rPr>
          <w:rFonts w:eastAsia="仿宋" w:cs="仿宋" w:ascii="仿宋" w:hAnsi="仿宋"/>
          <w:sz w:val="32"/>
          <w:szCs w:val="32"/>
        </w:rPr>
      </w:r>
    </w:p>
    <w:sectPr>
      <w:footerReference w:type="default" r:id="rId2"/>
      <w:type w:val="nextPage"/>
      <w:pgSz w:w="11906" w:h="16838"/>
      <w:pgMar w:left="1588" w:right="1474" w:gutter="0" w:header="0" w:top="1984" w:footer="1417" w:bottom="1701"/>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 w:hAnsi="宋体" w:cs="宋体"/>
        <w:sz w:val="28"/>
        <w:szCs w:val="28"/>
      </w:rPr>
    </w:pPr>
    <w:r>
      <w:rPr>
        <w:rFonts w:cs="宋体" w:ascii="宋体" w:hAnsi="宋体"/>
        <w:sz w:val="28"/>
        <w:szCs w:val="2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5617210" cy="605790"/>
              <wp:effectExtent l="0" t="0" r="0" b="0"/>
              <wp:wrapNone/>
              <wp:docPr id="1" name="Frame1"/>
              <a:graphic xmlns:a="http://schemas.openxmlformats.org/drawingml/2006/main">
                <a:graphicData uri="http://schemas.microsoft.com/office/word/2010/wordprocessingShape">
                  <wps:wsp>
                    <wps:cNvSpPr txBox="1"/>
                    <wps:spPr>
                      <a:xfrm>
                        <a:off x="0" y="0"/>
                        <a:ext cx="561721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jc w:val="center"/>
                            <w:textAlignment w:val="auto"/>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p>
                          <w:pPr>
                            <w:pStyle w:val="Normal"/>
                            <w:rPr>
                              <w:rFonts w:ascii="宋体" w:hAnsi="宋体" w:cs="宋体"/>
                              <w:sz w:val="28"/>
                              <w:szCs w:val="28"/>
                            </w:rPr>
                          </w:pPr>
                          <w:r>
                            <w:rPr>
                              <w:rFonts w:cs="宋体" w:ascii="宋体" w:hAnsi="宋体"/>
                              <w:sz w:val="28"/>
                              <w:szCs w:val="28"/>
                            </w:rPr>
                          </w:r>
                        </w:p>
                      </w:txbxContent>
                    </wps:txbx>
                    <wps:bodyPr anchor="t" lIns="635" tIns="635" rIns="635" bIns="635">
                      <a:spAutoFit/>
                    </wps:bodyPr>
                  </wps:wsp>
                </a:graphicData>
              </a:graphic>
            </wp:anchor>
          </w:drawing>
        </mc:Choice>
        <mc:Fallback>
          <w:pict>
            <v:rect fillcolor="#FFFFFF" style="position:absolute;rotation:-0;width:442.3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jc w:val="center"/>
                      <w:textAlignment w:val="auto"/>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p>
                    <w:pPr>
                      <w:pStyle w:val="Normal"/>
                      <w:rPr>
                        <w:rFonts w:ascii="宋体" w:hAnsi="宋体" w:cs="宋体"/>
                        <w:sz w:val="28"/>
                        <w:szCs w:val="28"/>
                      </w:rPr>
                    </w:pPr>
                    <w:r>
                      <w:rPr>
                        <w:rFonts w:cs="宋体" w:ascii="宋体" w:hAnsi="宋体"/>
                        <w:sz w:val="28"/>
                        <w:szCs w:val="28"/>
                      </w:rPr>
                    </w:r>
                  </w:p>
                </w:txbxContent>
              </v:textbox>
              <w10:wrap type="none"/>
            </v:rect>
          </w:pict>
        </mc:Fallback>
      </mc:AlternateContent>
    </w:r>
  </w:p>
  <w:p>
    <w:pPr>
      <w:pStyle w:val="Footer"/>
      <w:rPr>
        <w:rFonts w:ascii="宋体" w:hAnsi="宋体" w:cs="宋体"/>
        <w:sz w:val="28"/>
        <w:szCs w:val="28"/>
      </w:rPr>
    </w:pPr>
    <w:r>
      <w:rPr>
        <w:rFonts w:cs="宋体" w:ascii="宋体" w:hAnsi="宋体"/>
        <w:sz w:val="28"/>
        <w:szCs w:val="28"/>
      </w:rPr>
    </w:r>
  </w:p>
</w:ftr>
</file>

<file path=word/settings.xml><?xml version="1.0" encoding="utf-8"?>
<w:settings xmlns:w="http://schemas.openxmlformats.org/wordprocessingml/2006/main">
  <w:zoom w:percent="11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32"/>
      <w:szCs w:val="22"/>
      <w:lang w:val="en-US" w:eastAsia="zh-CN" w:bidi="hi-I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character" w:styleId="Char2">
    <w:name w:val="批注框文本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ListParagraph">
    <w:name w:val="List Paragraph"/>
    <w:basedOn w:val="Normal"/>
    <w:qFormat/>
    <w:pPr>
      <w:ind w:firstLineChars="200" w:startChars="0" w:start="0" w:endChars="0" w:end="0"/>
    </w:pPr>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basedOn w:val="Normal"/>
    <w:qFormat/>
    <w:pPr>
      <w:keepNext w:val="false"/>
      <w:keepLines w:val="false"/>
      <w:widowControl w:val="false"/>
      <w:spacing w:before="0" w:after="0"/>
      <w:ind w:hanging="0" w:start="0" w:end="0"/>
      <w:jc w:val="both"/>
    </w:pPr>
    <w:rPr>
      <w:rFonts w:ascii="Calibri" w:hAnsi="Calibri" w:eastAsia="宋体" w:cs="Times New Roman"/>
      <w:kern w:val="2"/>
      <w:sz w:val="21"/>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2018-07-23T09:17:00Z</dcterms:created>
  <dc:creator>Windows 用户</dc:creator>
  <dc:description/>
  <dc:language>en-US</dc:language>
  <cp:lastModifiedBy/>
  <dcterms:modified xsi:type="dcterms:W3CDTF">2020-03-24T10:57:48Z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