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宋体" w:hint="eastAsia"/>
          <w:color w:val="000000"/>
          <w:sz w:val="44"/>
          <w:szCs w:val="44"/>
        </w:rPr>
      </w:pPr>
      <w:r>
        <w:rPr>
          <w:rFonts w:ascii="宋体" w:hAnsi="宋体" w:cs="宋体" w:hint="eastAsia"/>
          <w:color w:val="000000"/>
          <w:sz w:val="44"/>
          <w:szCs w:val="44"/>
        </w:rPr>
        <w:t>辽宁省促进中小企业发展条例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TOC1"/>
        <w:keepNext w:val="false"/>
        <w:keepLines w:val="false"/>
        <w:pageBreakBefore w:val="false"/>
        <w:widowControl w:val="false"/>
        <w:kinsoku w:val="true"/>
        <w:overflowPunct w:val="true"/>
        <w:autoSpaceDE w:val="true"/>
        <w:bidi w:val="0"/>
        <w:snapToGrid w:val="true"/>
        <w:spacing w:lineRule="exact" w:line="570"/>
        <w:textAlignment w:val="auto"/>
        <w:rPr>
          <w:rFonts w:hint="eastAsia"/>
          <w:color w:val="000000"/>
        </w:rPr>
      </w:pPr>
      <w:r>
        <w:rPr>
          <w:rFonts w:hint="eastAsia"/>
          <w:color w:val="000000"/>
        </w:rPr>
        <w:t>（</w:t>
      </w:r>
      <w:r>
        <w:rPr>
          <w:rFonts w:hint="eastAsia"/>
          <w:color w:val="000000"/>
        </w:rPr>
        <w:t>2008</w:t>
      </w:r>
      <w:r>
        <w:rPr>
          <w:rFonts w:hint="eastAsia"/>
          <w:color w:val="000000"/>
        </w:rPr>
        <w:t>年</w:t>
      </w:r>
      <w:r>
        <w:rPr>
          <w:rFonts w:hint="eastAsia"/>
          <w:color w:val="000000"/>
        </w:rPr>
        <w:t>9</w:t>
      </w:r>
      <w:r>
        <w:rPr>
          <w:rFonts w:hint="eastAsia"/>
          <w:color w:val="000000"/>
        </w:rPr>
        <w:t>月</w:t>
      </w:r>
      <w:r>
        <w:rPr>
          <w:rFonts w:hint="eastAsia"/>
          <w:color w:val="000000"/>
        </w:rPr>
        <w:t>25</w:t>
      </w:r>
      <w:r>
        <w:rPr>
          <w:rFonts w:hint="eastAsia"/>
          <w:color w:val="000000"/>
        </w:rPr>
        <w:t>日辽宁省第十一届人民代表大会常务委员会第四次会议通过  根据</w:t>
      </w:r>
      <w:r>
        <w:rPr>
          <w:rFonts w:hint="eastAsia"/>
          <w:color w:val="000000"/>
        </w:rPr>
        <w:t>2009</w:t>
      </w:r>
      <w:r>
        <w:rPr>
          <w:rFonts w:hint="eastAsia"/>
          <w:color w:val="000000"/>
        </w:rPr>
        <w:t>年</w:t>
      </w:r>
      <w:r>
        <w:rPr>
          <w:rFonts w:hint="eastAsia"/>
          <w:color w:val="000000"/>
        </w:rPr>
        <w:t>5</w:t>
      </w:r>
      <w:r>
        <w:rPr>
          <w:rFonts w:hint="eastAsia"/>
          <w:color w:val="000000"/>
        </w:rPr>
        <w:t>月</w:t>
      </w:r>
      <w:r>
        <w:rPr>
          <w:rFonts w:hint="eastAsia"/>
          <w:color w:val="000000"/>
        </w:rPr>
        <w:t>27</w:t>
      </w:r>
      <w:r>
        <w:rPr>
          <w:rFonts w:hint="eastAsia"/>
          <w:color w:val="000000"/>
        </w:rPr>
        <w:t>日辽宁省第十一届人民代表大会常务委员会第九次会议《关于修改</w:t>
      </w:r>
      <w:r>
        <w:rPr>
          <w:rFonts w:ascii="仿宋" w:hAnsi="仿宋" w:cs="仿宋" w:hint="eastAsia" w:eastAsia="仿宋"/>
          <w:color w:val="000000"/>
        </w:rPr>
        <w:t>〈</w:t>
      </w:r>
      <w:r>
        <w:rPr>
          <w:rFonts w:hint="eastAsia"/>
          <w:color w:val="000000"/>
        </w:rPr>
        <w:t>辽宁省促进中小企业发展条例</w:t>
      </w:r>
      <w:r>
        <w:rPr>
          <w:rFonts w:ascii="仿宋" w:hAnsi="仿宋" w:cs="仿宋" w:hint="eastAsia" w:eastAsia="仿宋"/>
          <w:color w:val="000000"/>
        </w:rPr>
        <w:t>〉</w:t>
      </w:r>
      <w:r>
        <w:rPr>
          <w:rFonts w:hint="eastAsia"/>
          <w:color w:val="000000"/>
        </w:rPr>
        <w:t xml:space="preserve">的决定》第一次修正  </w:t>
      </w:r>
      <w:r>
        <w:rPr>
          <w:rFonts w:ascii="楷体" w:hAnsi="楷体" w:cs="楷体" w:hint="eastAsia"/>
          <w:color w:val="000000"/>
          <w:sz w:val="32"/>
          <w:szCs w:val="32"/>
        </w:rPr>
        <w:t>根据</w:t>
      </w:r>
      <w:r>
        <w:rPr>
          <w:rFonts w:eastAsia="楷体" w:cs="楷体" w:hint="eastAsia" w:ascii="楷体" w:hAnsi="楷体"/>
          <w:color w:val="000000"/>
          <w:sz w:val="32"/>
          <w:szCs w:val="32"/>
        </w:rPr>
        <w:t>2020</w:t>
      </w:r>
      <w:r>
        <w:rPr>
          <w:rFonts w:ascii="楷体" w:hAnsi="楷体" w:cs="楷体" w:hint="eastAsia"/>
          <w:color w:val="000000"/>
          <w:sz w:val="32"/>
          <w:szCs w:val="32"/>
        </w:rPr>
        <w:t>年</w:t>
      </w:r>
      <w:r>
        <w:rPr>
          <w:rFonts w:eastAsia="楷体" w:cs="楷体" w:hint="eastAsia" w:ascii="楷体" w:hAnsi="楷体"/>
          <w:color w:val="000000"/>
          <w:sz w:val="32"/>
          <w:szCs w:val="32"/>
        </w:rPr>
        <w:t>3</w:t>
      </w:r>
      <w:r>
        <w:rPr>
          <w:rFonts w:ascii="楷体" w:hAnsi="楷体" w:cs="楷体" w:hint="eastAsia"/>
          <w:color w:val="000000"/>
          <w:sz w:val="32"/>
          <w:szCs w:val="32"/>
        </w:rPr>
        <w:t>月</w:t>
      </w:r>
      <w:r>
        <w:rPr>
          <w:rFonts w:eastAsia="楷体" w:cs="楷体" w:hint="eastAsia" w:ascii="楷体" w:hAnsi="楷体"/>
          <w:color w:val="000000"/>
          <w:sz w:val="32"/>
          <w:szCs w:val="32"/>
        </w:rPr>
        <w:t>30</w:t>
      </w:r>
      <w:r>
        <w:rPr>
          <w:rFonts w:ascii="楷体" w:hAnsi="楷体" w:cs="楷体" w:hint="eastAsia"/>
          <w:color w:val="000000"/>
          <w:sz w:val="32"/>
          <w:szCs w:val="32"/>
        </w:rPr>
        <w:t>日辽宁省第十三届人民代表大会常务委员会第十七次会议《关于修改</w:t>
      </w:r>
      <w:r>
        <w:rPr>
          <w:rFonts w:ascii="仿宋" w:hAnsi="仿宋" w:cs="仿宋" w:hint="eastAsia" w:eastAsia="仿宋"/>
          <w:color w:val="000000"/>
          <w:sz w:val="32"/>
          <w:szCs w:val="32"/>
        </w:rPr>
        <w:t>〈</w:t>
      </w:r>
      <w:r>
        <w:rPr>
          <w:rFonts w:ascii="楷体" w:hAnsi="楷体" w:cs="楷体" w:hint="eastAsia"/>
          <w:color w:val="000000"/>
          <w:sz w:val="32"/>
          <w:szCs w:val="32"/>
        </w:rPr>
        <w:t>辽宁省出版管理规定</w:t>
      </w:r>
      <w:r>
        <w:rPr>
          <w:rFonts w:ascii="仿宋" w:hAnsi="仿宋" w:cs="仿宋" w:hint="eastAsia" w:eastAsia="仿宋"/>
          <w:color w:val="000000"/>
          <w:sz w:val="32"/>
          <w:szCs w:val="32"/>
        </w:rPr>
        <w:t>〉</w:t>
      </w:r>
      <w:r>
        <w:rPr>
          <w:rFonts w:ascii="楷体" w:hAnsi="楷体" w:cs="楷体" w:hint="eastAsia"/>
          <w:color w:val="000000"/>
          <w:sz w:val="32"/>
          <w:szCs w:val="32"/>
        </w:rPr>
        <w:t>等</w:t>
      </w:r>
      <w:r>
        <w:rPr>
          <w:rFonts w:eastAsia="楷体" w:cs="楷体" w:hint="eastAsia" w:ascii="楷体" w:hAnsi="楷体"/>
          <w:color w:val="000000"/>
          <w:sz w:val="32"/>
          <w:szCs w:val="32"/>
        </w:rPr>
        <w:t>27</w:t>
      </w:r>
      <w:r>
        <w:rPr>
          <w:rFonts w:ascii="楷体" w:hAnsi="楷体" w:cs="楷体" w:hint="eastAsia"/>
          <w:color w:val="000000"/>
          <w:sz w:val="32"/>
          <w:szCs w:val="32"/>
        </w:rPr>
        <w:t>件地方性法规的决定》第</w:t>
      </w:r>
      <w:r>
        <w:rPr>
          <w:rFonts w:ascii="楷体" w:hAnsi="楷体" w:cs="楷体" w:hint="eastAsia"/>
          <w:color w:val="000000"/>
          <w:sz w:val="32"/>
          <w:szCs w:val="32"/>
        </w:rPr>
        <w:t>二</w:t>
      </w:r>
      <w:r>
        <w:rPr>
          <w:rFonts w:ascii="楷体" w:hAnsi="楷体" w:cs="楷体" w:hint="eastAsia"/>
          <w:color w:val="000000"/>
          <w:sz w:val="32"/>
          <w:szCs w:val="32"/>
        </w:rPr>
        <w:t>次修正</w:t>
      </w:r>
      <w:r>
        <w:rPr>
          <w:rFonts w:ascii="楷体" w:hAnsi="楷体" w:cs="楷体"/>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宋体" w:hAnsi="宋体" w:eastAsia="宋体" w:cs="楷体" w:hint="eastAsia"/>
          <w:color w:val="000000"/>
          <w:sz w:val="32"/>
          <w:szCs w:val="32"/>
        </w:rPr>
      </w:pPr>
      <w:r>
        <w:rPr>
          <w:rFonts w:eastAsia="宋体" w:cs="楷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楷体" w:hint="eastAsia"/>
          <w:color w:val="000000"/>
          <w:sz w:val="32"/>
          <w:szCs w:val="32"/>
        </w:rPr>
      </w:pPr>
      <w:r>
        <w:rPr>
          <w:rFonts w:eastAsia="宋体" w:cs="楷体" w:hint="eastAsia" w:ascii="宋体" w:hAnsi="宋体"/>
          <w:color w:val="000000"/>
          <w:sz w:val="32"/>
          <w:szCs w:val="32"/>
        </w:rPr>
      </w:r>
    </w:p>
    <w:sdt>
      <w:sdtPr>
        <w:docPartObj>
          <w:docPartGallery w:val="Table of Contents"/>
          <w:docPartUnique w:val="true"/>
        </w:docPartObj>
      </w:sdtPr>
      <w:sdtContent>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r>
            <w:fldChar w:fldCharType="begin"/>
          </w:r>
          <w:r>
            <w:rPr>
              <w:rStyle w:val="IndexLink"/>
              <w:rFonts w:ascii="楷体" w:hAnsi="楷体" w:cs="楷体" w:hint="eastAsia" w:eastAsia="楷体"/>
              <w:color w:val="000000"/>
              <w:sz w:val="32"/>
              <w:szCs w:val="32"/>
            </w:rPr>
            <w:instrText xml:space="preserve">TOC \o "1-1" \n  \h \u </w:instrText>
          </w:r>
          <w:r>
            <w:rPr>
              <w:rStyle w:val="IndexLink"/>
              <w:rFonts w:ascii="楷体" w:hAnsi="楷体" w:cs="楷体" w:hint="eastAsia" w:eastAsia="楷体"/>
              <w:color w:val="000000"/>
              <w:sz w:val="32"/>
              <w:szCs w:val="32"/>
            </w:rPr>
            <w:fldChar w:fldCharType="separate"/>
          </w:r>
          <w:hyperlink w:anchor="__RefHeading___Toc30132">
            <w:r>
              <w:rPr>
                <w:rStyle w:val="IndexLink"/>
                <w:rFonts w:ascii="楷体" w:hAnsi="楷体" w:cs="楷体" w:hint="eastAsia" w:eastAsia="楷体"/>
                <w:color w:val="000000"/>
                <w:sz w:val="32"/>
                <w:szCs w:val="32"/>
              </w:rPr>
              <w:t>第一章  总则</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10708">
            <w:r>
              <w:rPr>
                <w:rStyle w:val="IndexLink"/>
                <w:rFonts w:ascii="楷体" w:hAnsi="楷体" w:cs="楷体" w:hint="eastAsia" w:eastAsia="楷体"/>
                <w:color w:val="000000"/>
                <w:sz w:val="32"/>
                <w:szCs w:val="32"/>
              </w:rPr>
              <w:t>第二章  资金支持</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29166">
            <w:r>
              <w:rPr>
                <w:rStyle w:val="IndexLink"/>
                <w:rFonts w:ascii="楷体" w:hAnsi="楷体" w:cs="楷体" w:hint="eastAsia" w:eastAsia="楷体"/>
                <w:color w:val="000000"/>
                <w:sz w:val="32"/>
                <w:szCs w:val="32"/>
              </w:rPr>
              <w:t>第三章  创业扶持</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20897">
            <w:r>
              <w:rPr>
                <w:rStyle w:val="IndexLink"/>
                <w:rFonts w:ascii="楷体" w:hAnsi="楷体" w:cs="楷体" w:hint="eastAsia" w:eastAsia="楷体"/>
                <w:color w:val="000000"/>
                <w:sz w:val="32"/>
                <w:szCs w:val="32"/>
              </w:rPr>
              <w:t>第四章  技术创新</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6712">
            <w:r>
              <w:rPr>
                <w:rStyle w:val="IndexLink"/>
                <w:rFonts w:ascii="楷体" w:hAnsi="楷体" w:cs="楷体" w:hint="eastAsia" w:eastAsia="楷体"/>
                <w:color w:val="000000"/>
                <w:sz w:val="32"/>
                <w:szCs w:val="32"/>
              </w:rPr>
              <w:t>第五章  市场开拓</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6740">
            <w:r>
              <w:rPr>
                <w:rStyle w:val="IndexLink"/>
                <w:rFonts w:ascii="楷体" w:hAnsi="楷体" w:cs="楷体" w:hint="eastAsia" w:eastAsia="楷体"/>
                <w:color w:val="000000"/>
                <w:sz w:val="32"/>
                <w:szCs w:val="32"/>
              </w:rPr>
              <w:t>第六章  服务措施</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6538">
            <w:r>
              <w:rPr>
                <w:rStyle w:val="IndexLink"/>
                <w:rFonts w:ascii="楷体" w:hAnsi="楷体" w:cs="楷体" w:hint="eastAsia" w:eastAsia="楷体"/>
                <w:color w:val="000000"/>
                <w:sz w:val="32"/>
                <w:szCs w:val="32"/>
              </w:rPr>
              <w:t>第七章  权益保护</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13749">
            <w:r>
              <w:rPr>
                <w:rStyle w:val="IndexLink"/>
                <w:rFonts w:ascii="楷体" w:hAnsi="楷体" w:cs="楷体" w:hint="eastAsia" w:eastAsia="楷体"/>
                <w:color w:val="000000"/>
                <w:sz w:val="32"/>
                <w:szCs w:val="32"/>
              </w:rPr>
              <w:t>第八章  附则</w:t>
            </w:r>
          </w:hyperlink>
          <w:r>
            <w:rPr>
              <w:rStyle w:val="IndexLink"/>
              <w:rFonts w:ascii="楷体" w:hAnsi="楷体" w:cs="楷体" w:hint="eastAsia" w:eastAsia="楷体"/>
              <w:color w:val="000000"/>
              <w:sz w:val="32"/>
              <w:szCs w:val="32"/>
            </w:rPr>
            <w:fldChar w:fldCharType="end"/>
          </w:r>
        </w:p>
      </w:sdtContent>
    </w:sdt>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bookmarkStart w:id="0" w:name="__RefHeading___Toc30132"/>
      <w:r>
        <w:rPr>
          <w:rFonts w:ascii="黑体" w:hAnsi="黑体" w:cs="黑体" w:hint="eastAsia" w:eastAsia="黑体"/>
          <w:color w:val="000000"/>
          <w:sz w:val="32"/>
          <w:szCs w:val="32"/>
        </w:rPr>
        <w:t xml:space="preserve">第一章  </w:t>
      </w:r>
      <w:bookmarkEnd w:id="0"/>
      <w:r>
        <w:rPr>
          <w:rFonts w:ascii="黑体" w:hAnsi="黑体" w:cs="黑体" w:hint="eastAsia" w:eastAsia="黑体"/>
          <w:color w:val="000000"/>
          <w:sz w:val="32"/>
          <w:szCs w:val="32"/>
        </w:rPr>
        <w:t>总则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第一条 </w:t>
      </w:r>
      <w:r>
        <w:rPr>
          <w:rFonts w:ascii="仿宋" w:hAnsi="仿宋" w:cs="仿宋" w:hint="eastAsia" w:eastAsia="仿宋"/>
          <w:color w:val="000000"/>
          <w:sz w:val="32"/>
          <w:szCs w:val="32"/>
        </w:rPr>
        <w:t xml:space="preserve"> 为了改善中小企业经营环境，促进中小企业健康发展，发挥中小企业在国民经济和社会发展中的重要作用，根据《中华人民共和国中小企业促进法》等法律、法规，结合本省实际，制定本条例。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第二条 </w:t>
      </w:r>
      <w:r>
        <w:rPr>
          <w:rFonts w:ascii="仿宋" w:hAnsi="仿宋" w:cs="仿宋" w:hint="eastAsia" w:eastAsia="仿宋"/>
          <w:color w:val="000000"/>
          <w:sz w:val="32"/>
          <w:szCs w:val="32"/>
        </w:rPr>
        <w:t xml:space="preserve"> 本条例所称中小企业，是指在本省行政区域内依法设立的符合国家有关中小企业划分标准的各种所有制和各种形式的企业。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第三条 </w:t>
      </w:r>
      <w:r>
        <w:rPr>
          <w:rFonts w:ascii="仿宋" w:hAnsi="仿宋" w:cs="仿宋" w:hint="eastAsia" w:eastAsia="仿宋"/>
          <w:color w:val="000000"/>
          <w:sz w:val="32"/>
          <w:szCs w:val="32"/>
        </w:rPr>
        <w:t xml:space="preserve"> 省人民政府应当制定本省中小企业政策，对本省中小企业发展进行统筹规划。</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县（含县级市、区，下同）以上人民政府应当根据法律、法规和国家有关方针政策，结合本地实际，将中小企业发展纳入本地区国民经济和社会发展规划，确定扶持重点，制定相应政策措施，依法规范中小企业行为，为中小企业的创业和发展提供保障、创造条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乡（镇）人民政府应当依法为中小企业提供指导和服务。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省、市、县工业和信息化主管部门负责本行政区域内中小企业的综合、协调指导和服务工作，督促发展中小企业各项政策措施的落实。</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政府其他有关部门在各自的职责范围内对中小企业进行指导和服务，落实有关政策措施。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第五条</w:t>
      </w:r>
      <w:r>
        <w:rPr>
          <w:rFonts w:ascii="仿宋" w:hAnsi="仿宋" w:cs="仿宋" w:hint="eastAsia" w:eastAsia="仿宋"/>
          <w:color w:val="000000"/>
          <w:sz w:val="32"/>
          <w:szCs w:val="32"/>
        </w:rPr>
        <w:t xml:space="preserve">  县以上人民政府及其有关部门应当加强对中小企业发展动态的监测和分析，及时向社会公布有关产业政策、发展规划、投资重点和市场需求等方面的信息。</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省工业和信息化主管部门应当依法会同省统计部门建立健全中小企业统计指标体系，制定中小企业统计制度，准确反映中小企业发展运行状况。</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中小企业享有法律、法规规定的各项权利，任何单位和个人不得侵犯中小企业的合法权益。</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中小企业应当严格遵守法律、法规、规章，合法经营、依法纳税、诚实守信、公平竞争，不得损害国家利益和社会公共利益，不得侵害职工合法权益。</w:t>
      </w:r>
    </w:p>
    <w:p>
      <w:pPr>
        <w:pStyle w:val="Normal"/>
        <w:keepNext w:val="false"/>
        <w:keepLines w:val="false"/>
        <w:pageBreakBefore w:val="false"/>
        <w:widowControl w:val="false"/>
        <w:kinsoku w:val="true"/>
        <w:overflowPunct w:val="true"/>
        <w:autoSpaceDE w:val="true"/>
        <w:bidi w:val="0"/>
        <w:snapToGrid w:val="true"/>
        <w:spacing w:lineRule="exact" w:line="57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1" w:name="__RefHeading___Toc10708"/>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第二章  资金支持</w:t>
      </w:r>
      <w:bookmarkEnd w:id="1"/>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第七条</w:t>
      </w:r>
      <w:r>
        <w:rPr>
          <w:rFonts w:ascii="仿宋" w:hAnsi="仿宋" w:cs="仿宋" w:hint="eastAsia" w:eastAsia="仿宋"/>
          <w:color w:val="000000"/>
          <w:sz w:val="32"/>
          <w:szCs w:val="32"/>
        </w:rPr>
        <w:t xml:space="preserve">  省级财政预算应当安排扶持中小企业发展专项资金，并视财政增长逐步增加。市、县人民政府应当根据实际情况，在本级财政预算中安排扶持中小企业发展专项资金。有条件的乡（镇）人民政府应当根据实际情况安排扶持中小企业发展专项资金或者以其他方式为中小企业发展提供支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省中小企业发展专项资金的使用管理办法，由省财政部门会同省工业和信息化主管部门制定。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县以上人民政府有关部门在国家投资补助、企业技术改造贴息、科学技术支出、农业产业化建设项目贷款贴息、组织经贸活动等方面，应当对中小企业按照与其他企业同等条件、同等安排的原则办理。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第九条 </w:t>
      </w:r>
      <w:r>
        <w:rPr>
          <w:rFonts w:ascii="仿宋" w:hAnsi="仿宋" w:cs="仿宋" w:hint="eastAsia" w:eastAsia="仿宋"/>
          <w:color w:val="000000"/>
          <w:sz w:val="32"/>
          <w:szCs w:val="32"/>
        </w:rPr>
        <w:t xml:space="preserve"> 城市商业银行、农村信用社应当积极开发适合中小企业的信贷产品，增加信贷投入，提高对中小企业的金融服务质量。对中小企业符合国家产业政策、有市场发展前景、技术含量高、经济效益好的项目，在符合信贷条件的前提下，应当优先提供信贷支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城市商业银行年新增贷款用于中小企业超过规定比例的，由同级财政给予奖励。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政策性银行可以与商业银行、贷款担保机构建立合作机制，开展对中小企业的转贷款、担保贷款等信贷业务。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第十条 </w:t>
      </w:r>
      <w:r>
        <w:rPr>
          <w:rFonts w:ascii="仿宋" w:hAnsi="仿宋" w:cs="仿宋" w:hint="eastAsia" w:eastAsia="仿宋"/>
          <w:color w:val="000000"/>
          <w:sz w:val="32"/>
          <w:szCs w:val="32"/>
        </w:rPr>
        <w:t xml:space="preserve"> 鼓励小额贷款公司面向中小企业提供信贷服务。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鼓励国有大企业和履行社会责任好的民营企业，以及其他有能力的法人依法成立贷款公司，开展对中小企业的贷款业务。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第十一条  </w:t>
      </w:r>
      <w:r>
        <w:rPr>
          <w:rFonts w:ascii="仿宋" w:hAnsi="仿宋" w:cs="仿宋" w:hint="eastAsia" w:eastAsia="仿宋"/>
          <w:color w:val="000000"/>
          <w:sz w:val="32"/>
          <w:szCs w:val="32"/>
        </w:rPr>
        <w:t>依法促进、规范产权交易市场发展，为中小企业结构调整、资产重组、优化资源配置创造条件。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积极引导中小企业通过股权融资、项目融资、债券融资、租赁融资等途径依法融资。鼓励中小企业上市融资。对新上市的中小企业，省、市人民政府给予奖励。</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第十二条 </w:t>
      </w:r>
      <w:r>
        <w:rPr>
          <w:rFonts w:ascii="仿宋" w:hAnsi="仿宋" w:cs="仿宋" w:hint="eastAsia" w:eastAsia="仿宋"/>
          <w:color w:val="000000"/>
          <w:sz w:val="32"/>
          <w:szCs w:val="32"/>
        </w:rPr>
        <w:t xml:space="preserve"> 县以上人民政府及其有关部门应当积极推进中小企业信用制度建设，建立中小企业信用征集与评价体系、评级发布制度和失信惩戒机制，建立和完善中小企业信用数据档案库和中小企业信用信息查询网络，实现中小企业信用信息查询、交流和共享的社会化。</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省、市人民政府设立的信用信息征集机构应当做好中小企业信用信息征集工作。鼓励依法设立的信用评估机构开展中小企业信用评估服务。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县以上人民政府有关部门应当加强对中小企业信用担保机构的指导、监督，推动建立担保机构信用评级、信用担保风险控制机制。支持建立担保业自律性组织，促进中小企业信用担保机构规范有序、健康发展。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对中小企业以资产抵押办理银行贷款，登记部门应当公示收费标准、办事程序和时限，降低登记成本，积极推进标准化、电子化快捷服务，不得指定评估机构对抵押物进行强制性评估。</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中小企业申请办理股权出质登记的，免收登记费用。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各级财政应当在预算中安排担保机构贷款担保风险补偿专项资金，建立中小企业信用担保风险补偿制度，对为中小企业提供贷款担保的信用担保机构给予风险补偿。市级财政安排担保风险补偿专项资金的，省级财政给予适当补助。</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2" w:name="__RefHeading___Toc29166"/>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第三章  创业扶持</w:t>
      </w:r>
      <w:bookmarkEnd w:id="2"/>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保护中小企业依法参与市场公平竞争的权利，不得限制中小企业进入国家法律、法规没有明确禁止的行业和领域经营。</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县以上人民政府应当制定和完善创业扶持的政策措施，引导创办符合国家产业政策的中小企业，重点扶持初创的、具有成长性的中小企业。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县以上人民政府有关部门应当在城乡建设规划中安排必要的中小企业建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设用地，采取利用原有存量建设用地、闲置厂房和引导中小企业进入工业园区等形式，为中小企业提供生产、经营场所。</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县以上人民政府及其有关部门应当加强中小企业创业基地建设，增强创业基地为创业者提供创业培训、项目策划、技术支持、融资担保、商务代理等服务功能，扶持、引导创业者和中小企业进入各类开发区、产业园区聚集发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鼓励社会各类资本利用现有开发区、产业园区资源，投资建设中小企业创业园区。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失业人员、残疾人员、大专院校毕业生、退役士兵等创办中小企业，政府及有关部门应当创造条件，进行创业辅导和培训，并按照有关规定给予税费减免或者补贴等优惠政策的支持。</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3" w:name="__RefHeading___Toc20897"/>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第四章  技术创新</w:t>
      </w:r>
      <w:bookmarkEnd w:id="3"/>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省级财政预算安排科技型中小企业创新专项资金，对中小企业技术创新予以资助。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鼓励和支持有条件的中小企业设立技术中心、研究开发中心等企业研究开发机构，提高企业自主创新能力。支持有条件的中小企业申报国家、省、市级企业技术中心。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鼓励建立面向中小企业的各类社会化公共技术服务机构，为中小企业提供技术信息、技术咨询、技术转让、技术研发和质量技术检测等社会化技术服务。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县以上人民政府及其有关部门应当引导和支持中小企业与科研机构、大专院校建立多种形式的产学研合作关系，推进联合开发和技术攻关。</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鼓励有条件的中小企业设立博士后科研工作站，建立博士、硕士科研实验基地；鼓励科研机构和大专院校向中小企业开放试验室等科研场所，为中小企业提供技术支持和服务。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鼓励有条件的中小企业制定知识产权规划，申请国内外发明专利，建立企业专利数据库，通过自主创新拥有自主知识产权，加强知识产权管理、利用与保护。</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4" w:name="__RefHeading___Toc6712"/>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第五章  市场开拓</w:t>
      </w:r>
      <w:bookmarkEnd w:id="4"/>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县以上人民政府有关部门应当加强信息、物流等公共服务平台的建设，引导中小企业与国内外大企业协作配套，促进中小企业的产品进入大企业的产业链或者采购系统，引导大企业从中小企业选购配套件和零部件。鼓励大企业将有关产品及零部件委托给中小企业生产，带动和促进中小企业发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县以上人民政府有关部门应当加强对中小企业自主品牌的保护，完善品牌建设激励机制，支持中小企业争创名牌。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xml:space="preserve">  县以上人民政府有关部门应当公开发布政府采购信息，为中小企业获得采购合同提供指导和服务，优先安排向中小企业购买商品或者服务，并逐步扩大中小企业产品或者服务在政府采购中的比重。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xml:space="preserve">  鼓励中小企业采取收购、兼并、控股、参股、租赁等形式参与国有企业重组。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第二十九条</w:t>
      </w:r>
      <w:r>
        <w:rPr>
          <w:rFonts w:ascii="仿宋" w:hAnsi="仿宋" w:cs="仿宋" w:hint="eastAsia" w:eastAsia="仿宋"/>
          <w:color w:val="000000"/>
          <w:sz w:val="32"/>
          <w:szCs w:val="32"/>
        </w:rPr>
        <w:t xml:space="preserve">  鼓励中小企业开拓国外市场，开展自营进出口业务，进行跨国经济技术合作与交流。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鼓励有条件的中小企业到境外投资，开办加工企业或者设立生产经营服务网点。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第三十条</w:t>
      </w:r>
      <w:r>
        <w:rPr>
          <w:rFonts w:ascii="仿宋" w:hAnsi="仿宋" w:cs="仿宋" w:hint="eastAsia" w:eastAsia="仿宋"/>
          <w:color w:val="000000"/>
          <w:sz w:val="32"/>
          <w:szCs w:val="32"/>
        </w:rPr>
        <w:t xml:space="preserve">  支持中小企业取得质量管理体系认证、环境管理体系认证和产品认证等国际标准认证，对取得认证的企业，给予便捷通关待遇。</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支持中小企业制定和采用先进的企业标准。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xml:space="preserve">  省、市人民政府及其有关部门应当建立和完善产业损害预警机制，指导和帮助中小企业采取措施规避风险。</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5" w:name="__RefHeading___Toc6740"/>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第六章  服务措施</w:t>
      </w:r>
      <w:bookmarkEnd w:id="5"/>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第三十二条</w:t>
      </w:r>
      <w:r>
        <w:rPr>
          <w:rFonts w:ascii="仿宋" w:hAnsi="仿宋" w:cs="仿宋" w:hint="eastAsia" w:eastAsia="仿宋"/>
          <w:color w:val="000000"/>
          <w:sz w:val="32"/>
          <w:szCs w:val="32"/>
        </w:rPr>
        <w:t xml:space="preserve">  县以上人民政府有关部门应当重视非国有中小企业人才队伍建设，在人事管理、教育培训、职称评定和政府奖励等方面，与国有企业同等待遇；应当建立中小企业管理、技术等方面的专业人才库，推动各类人才的交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鼓励建立区域性的中小企业职业经理人培训、测评与推荐中心，促进中小企业职业经营者队伍的发展。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县以上人民政府及其有关部门应当推进中小企业服务体系建设，政府主办或者资助建立的中小企业服务机构应当向中小企业提供免费或者低收费的服务。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第三十四条</w:t>
      </w:r>
      <w:r>
        <w:rPr>
          <w:rFonts w:ascii="仿宋" w:hAnsi="仿宋" w:cs="仿宋" w:hint="eastAsia" w:eastAsia="仿宋"/>
          <w:color w:val="000000"/>
          <w:sz w:val="32"/>
          <w:szCs w:val="32"/>
        </w:rPr>
        <w:t xml:space="preserve">  鼓励科研院所、大专院校和各类培训机构对中小企业经营管理人员、市场营销人员、生产技术人员进行法律法规、经营管理、职业技能等方面的培训。鼓励中小企业利用公费出国留学等人才培养载体，培养高层次创新型人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政府有关部门应当加强中小企业职工教育培训体系建设，支持中小企业对职工进行培训，对于符合政府资助条件的中小企业人员培训活动，给予适当资金支持。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第三十五条</w:t>
      </w:r>
      <w:r>
        <w:rPr>
          <w:rFonts w:ascii="仿宋" w:hAnsi="仿宋" w:cs="仿宋" w:hint="eastAsia" w:eastAsia="仿宋"/>
          <w:color w:val="000000"/>
          <w:sz w:val="32"/>
          <w:szCs w:val="32"/>
        </w:rPr>
        <w:t xml:space="preserve">  县以上人民政府有关部门应当整合并利用法律服务资源，推动中小企业法律咨询、法律援助和法律救济建设，开展对中小企业的法律服务，为中小企业发展创造公平交易和平等竞争的法制环境。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第三十六条 </w:t>
      </w:r>
      <w:r>
        <w:rPr>
          <w:rFonts w:ascii="仿宋" w:hAnsi="仿宋" w:cs="仿宋" w:hint="eastAsia" w:eastAsia="仿宋"/>
          <w:color w:val="000000"/>
          <w:sz w:val="32"/>
          <w:szCs w:val="32"/>
        </w:rPr>
        <w:t xml:space="preserve"> 保险机构应当积极开发适合中小企业需求的保险业务，为中小企业提供财产、责任、人身意外以及信用保险等各类保险产品。</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6" w:name="__RefHeading___Toc6538"/>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第七章  权益保护</w:t>
      </w:r>
      <w:bookmarkEnd w:id="6"/>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第三十七条</w:t>
      </w:r>
      <w:r>
        <w:rPr>
          <w:rFonts w:ascii="仿宋" w:hAnsi="仿宋" w:cs="仿宋" w:hint="eastAsia" w:eastAsia="仿宋"/>
          <w:color w:val="000000"/>
          <w:sz w:val="32"/>
          <w:szCs w:val="32"/>
        </w:rPr>
        <w:t xml:space="preserve">  中小企业因配合城市规划、道路建设或者其他市政建设项目使其生产经营活动受到影响的，政府及其有关部门应当协助解决资金、建设用地等问题；需要拆迁的，应当依法给予补偿。</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第三十八条</w:t>
      </w:r>
      <w:r>
        <w:rPr>
          <w:rFonts w:ascii="仿宋" w:hAnsi="仿宋" w:cs="仿宋" w:hint="eastAsia" w:eastAsia="仿宋"/>
          <w:color w:val="000000"/>
          <w:sz w:val="32"/>
          <w:szCs w:val="32"/>
        </w:rPr>
        <w:t xml:space="preserve">  县以上人民政府应当建立健全中小企业负担监督管理制度，开展中小企业负担监督管理工作，减轻中小企业负担，维护中小企业的合法权益。</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任何单位和个人不得强制或者变相强制中小企业提供赞助或者资助、订购报刊或者图书、参加社会团体或者学术研讨会、购买指定商品或者接受指定服务。除法律、法规或者国务院和省人民政府规定的外，不得强制对中小企业开展培训、考核、评比、达标、升级等活动。依法开展考核、评比、达标、升级的，应当报送同级人民政府企业负担监督主管部门备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第三十九条</w:t>
      </w:r>
      <w:r>
        <w:rPr>
          <w:rFonts w:ascii="仿宋" w:hAnsi="仿宋" w:cs="仿宋" w:hint="eastAsia" w:eastAsia="仿宋"/>
          <w:color w:val="000000"/>
          <w:sz w:val="32"/>
          <w:szCs w:val="32"/>
        </w:rPr>
        <w:t xml:space="preserve">  县以上人民政府应当建立维护中小企业合法权益投诉中心，完善受理举报制度，公开程序和方式，依法查处侵犯中小企业合法权益的违法行为。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第四十条</w:t>
      </w:r>
      <w:r>
        <w:rPr>
          <w:rFonts w:ascii="仿宋" w:hAnsi="仿宋" w:cs="仿宋" w:hint="eastAsia" w:eastAsia="仿宋"/>
          <w:color w:val="000000"/>
          <w:sz w:val="32"/>
          <w:szCs w:val="32"/>
        </w:rPr>
        <w:t xml:space="preserve">  国家机关及其工作人员违反本条例有下列情形之一的，由其所在单位或者上级主管部门、行政监察机关责令改正；情节严重的，对直接负责的主管人员和其他</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直接责任人员依法给予行政处分；造成经济损失的，依法承担赔偿责任；构成犯罪的，依法追究刑事责任：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（一）拒绝履行法定职责或者未在规定时限内办理有关事项，给中小企业造成损失的；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（二）截留、挪用扶持中小企业发展专项资金、中小企业信用担保风险补偿专项资金或者科技型中小企业创新专项资金以及其他扶持资金的；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（三）其他损害中小企业合法权益的行为。</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bookmarkStart w:id="7" w:name="__RefHeading___Toc13749"/>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第八章  </w:t>
      </w:r>
      <w:bookmarkEnd w:id="7"/>
      <w:r>
        <w:rPr>
          <w:rFonts w:ascii="黑体" w:hAnsi="黑体" w:cs="黑体" w:hint="eastAsia" w:eastAsia="黑体"/>
          <w:color w:val="000000"/>
          <w:sz w:val="32"/>
          <w:szCs w:val="32"/>
        </w:rPr>
        <w:t>附则</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第四十一条</w:t>
      </w:r>
      <w:r>
        <w:rPr>
          <w:rFonts w:ascii="仿宋" w:hAnsi="仿宋" w:cs="仿宋" w:hint="eastAsia" w:eastAsia="仿宋"/>
          <w:color w:val="000000"/>
          <w:sz w:val="32"/>
          <w:szCs w:val="32"/>
        </w:rPr>
        <w:t xml:space="preserve">  本条例自</w:t>
      </w:r>
      <w:r>
        <w:rPr>
          <w:rFonts w:eastAsia="仿宋" w:cs="仿宋" w:hint="eastAsia" w:ascii="仿宋" w:hAnsi="仿宋"/>
          <w:color w:val="000000"/>
          <w:sz w:val="32"/>
          <w:szCs w:val="32"/>
        </w:rPr>
        <w:t>2008</w:t>
      </w:r>
      <w:r>
        <w:rPr>
          <w:rFonts w:ascii="仿宋" w:hAnsi="仿宋" w:cs="仿宋" w:hint="eastAsia" w:eastAsia="仿宋"/>
          <w:color w:val="000000"/>
          <w:sz w:val="32"/>
          <w:szCs w:val="32"/>
        </w:rPr>
        <w:t>年</w:t>
      </w:r>
      <w:r>
        <w:rPr>
          <w:rFonts w:eastAsia="仿宋" w:cs="仿宋" w:hint="eastAsia" w:ascii="仿宋" w:hAnsi="仿宋"/>
          <w:color w:val="000000"/>
          <w:sz w:val="32"/>
          <w:szCs w:val="32"/>
        </w:rPr>
        <w:t>12</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sectPr>
      <w:footerReference w:type="default" r:id="rId2"/>
      <w:type w:val="nextPage"/>
      <w:pgSz w:w="11906" w:h="16838"/>
      <w:pgMar w:left="1587" w:right="1474" w:gutter="0" w:header="0" w:top="1984" w:footer="1417" w:bottom="1701"/>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仿宋">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5617845" cy="443230"/>
              <wp:effectExtent l="0" t="0" r="0" b="0"/>
              <wp:wrapNone/>
              <wp:docPr id="1" name="Frame1"/>
              <a:graphic xmlns:a="http://schemas.openxmlformats.org/drawingml/2006/main">
                <a:graphicData uri="http://schemas.microsoft.com/office/word/2010/wordprocessingShape">
                  <wps:wsp>
                    <wps:cNvSpPr txBox="1"/>
                    <wps:spPr>
                      <a:xfrm>
                        <a:off x="0" y="0"/>
                        <a:ext cx="5617845" cy="4432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tLeast" w:line="240"/>
                            <w:ind w:firstLineChars="0" w:firstLine="0" w:startChars="200" w:endChars="200"/>
                            <w:jc w:val="both"/>
                            <w:textAlignment w:val="auto"/>
                            <w:rPr>
                              <w:rFonts w:hint="eastAsia"/>
                              <w:sz w:val="28"/>
                              <w:szCs w:val="28"/>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p>
                          <w:pPr>
                            <w:pStyle w:val="Normal"/>
                            <w:snapToGrid w:val="false"/>
                            <w:rPr>
                              <w:rFonts w:eastAsia="宋体" w:hint="eastAsia"/>
                              <w:sz w:val="18"/>
                              <w:szCs w:val="28"/>
                            </w:rPr>
                          </w:pPr>
                          <w:r>
                            <w:rPr>
                              <w:rFonts w:eastAsia="宋体" w:hint="eastAsia"/>
                              <w:sz w:val="18"/>
                              <w:szCs w:val="28"/>
                            </w:rPr>
                          </w:r>
                        </w:p>
                      </w:txbxContent>
                    </wps:txbx>
                    <wps:bodyPr anchor="t" lIns="635" tIns="635" rIns="635" bIns="635">
                      <a:spAutoFit/>
                    </wps:bodyPr>
                  </wps:wsp>
                </a:graphicData>
              </a:graphic>
            </wp:anchor>
          </w:drawing>
        </mc:Choice>
        <mc:Fallback>
          <w:pict>
            <v:rect fillcolor="#FFFFFF" style="position:absolute;rotation:-0;width:442.35pt;height:34.9pt;mso-wrap-distance-left:9.05pt;mso-wrap-distance-right:0pt;mso-wrap-distance-top:0pt;mso-wrap-distance-bottom:0pt;margin-top:0pt;mso-position-vertical-relative:text;margin-left:-0.1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tLeast" w:line="240"/>
                      <w:ind w:firstLineChars="0" w:firstLine="0" w:startChars="200" w:endChars="200"/>
                      <w:jc w:val="both"/>
                      <w:textAlignment w:val="auto"/>
                      <w:rPr>
                        <w:rFonts w:hint="eastAsia"/>
                        <w:sz w:val="28"/>
                        <w:szCs w:val="28"/>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p>
                    <w:pPr>
                      <w:pStyle w:val="Normal"/>
                      <w:snapToGrid w:val="false"/>
                      <w:rPr>
                        <w:rFonts w:eastAsia="宋体" w:hint="eastAsia"/>
                        <w:sz w:val="18"/>
                        <w:szCs w:val="28"/>
                      </w:rPr>
                    </w:pPr>
                    <w:r>
                      <w:rPr>
                        <w:rFonts w:eastAsia="宋体" w:hint="eastAsia"/>
                        <w:sz w:val="18"/>
                        <w:szCs w:val="28"/>
                      </w:rPr>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hi-IN"/>
    </w:rPr>
  </w:style>
  <w:style w:type="paragraph" w:styleId="Heading1">
    <w:name w:val="heading 1"/>
    <w:basedOn w:val="Normal"/>
    <w:next w:val="Normal"/>
    <w:qFormat/>
    <w:pPr>
      <w:keepNext w:val="true"/>
      <w:keepLines/>
      <w:numPr>
        <w:ilvl w:val="0"/>
        <w:numId w:val="1"/>
      </w:numPr>
      <w:spacing w:lineRule="exact" w:line="560"/>
      <w:ind w:firstLineChars="0" w:firstLine="0" w:startChars="0" w:start="0" w:endChars="0" w:end="0"/>
      <w:jc w:val="center"/>
      <w:outlineLvl w:val="0"/>
    </w:pPr>
    <w:rPr>
      <w:rFonts w:ascii="Calibri" w:hAnsi="Calibri" w:eastAsia="黑体" w:cs="Calibri"/>
      <w:kern w:val="2"/>
      <w:sz w:val="32"/>
    </w:rPr>
  </w:style>
  <w:style w:type="paragraph" w:styleId="Heading2">
    <w:name w:val="heading 2"/>
    <w:basedOn w:val="Normal"/>
    <w:next w:val="Normal"/>
    <w:qFormat/>
    <w:pPr>
      <w:keepNext w:val="true"/>
      <w:keepLines/>
      <w:numPr>
        <w:ilvl w:val="1"/>
        <w:numId w:val="1"/>
      </w:numPr>
      <w:spacing w:lineRule="auto" w:line="413" w:before="312" w:after="312"/>
      <w:jc w:val="center"/>
      <w:outlineLvl w:val="1"/>
    </w:pPr>
    <w:rPr>
      <w:rFonts w:ascii="Arial" w:hAnsi="Arial" w:eastAsia="宋体" w:cs="Arial"/>
      <w:sz w:val="32"/>
    </w:rPr>
  </w:style>
  <w:style w:type="paragraph" w:styleId="Heading3">
    <w:name w:val="heading 3"/>
    <w:basedOn w:val="Normal"/>
    <w:next w:val="Normal"/>
    <w:qFormat/>
    <w:pPr>
      <w:keepNext w:val="true"/>
      <w:keepLines/>
      <w:numPr>
        <w:ilvl w:val="2"/>
        <w:numId w:val="1"/>
      </w:numPr>
      <w:spacing w:lineRule="exact" w:line="560"/>
      <w:ind w:firstLineChars="200" w:startChars="0" w:start="0" w:endChars="0" w:end="0"/>
      <w:jc w:val="start"/>
      <w:outlineLvl w:val="2"/>
    </w:pPr>
    <w:rPr>
      <w:rFonts w:eastAsia="楷体"/>
      <w:sz w:val="32"/>
    </w:rPr>
  </w:style>
  <w:style w:type="character" w:styleId="Style11">
    <w:name w:val="默认段落字体"/>
    <w:qFormat/>
    <w:rPr/>
  </w:style>
  <w:style w:type="character" w:styleId="1CharChar">
    <w:name w:val="标题 1 Char Char"/>
    <w:qFormat/>
    <w:rPr>
      <w:rFonts w:ascii="Calibri" w:hAnsi="Calibri" w:eastAsia="黑体" w:cs="Calibri"/>
      <w:kern w:val="2"/>
      <w:sz w:val="32"/>
    </w:rPr>
  </w:style>
  <w:style w:type="character" w:styleId="3CharChar">
    <w:name w:val="标题 3 Char Char"/>
    <w:qFormat/>
    <w:rPr>
      <w:rFonts w:eastAsia="楷体"/>
      <w:sz w:val="32"/>
    </w:rPr>
  </w:style>
  <w:style w:type="character" w:styleId="CharChar">
    <w:name w:val="目录 Char Char"/>
    <w:qFormat/>
    <w:rPr>
      <w:rFonts w:ascii="Calibri" w:hAnsi="Calibri" w:eastAsia="仿宋" w:cs="Calibri"/>
      <w:sz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2">
    <w:name w:val="toc 2"/>
    <w:basedOn w:val="Normal"/>
    <w:next w:val="Normal"/>
    <w:pPr>
      <w:ind w:firstLineChars="0" w:firstLine="0" w:startChars="200" w:endChars="0" w:end="0"/>
    </w:pPr>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2">
    <w:name w:val="目录"/>
    <w:basedOn w:val="Normal"/>
    <w:qFormat/>
    <w:pPr>
      <w:spacing w:lineRule="exact" w:line="560"/>
    </w:pPr>
    <w:rPr>
      <w:rFonts w:ascii="Calibri" w:hAnsi="Calibri" w:eastAsia="仿宋" w:cs="Calibri"/>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2017-02-10T12:07:00Z</dcterms:created>
  <dc:creator>Administrator</dc:creator>
  <dc:description/>
  <dc:language>en-US</dc:language>
  <cp:lastModifiedBy/>
  <dcterms:modified xsi:type="dcterms:W3CDTF">2020-05-07T13:59:50Z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