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ind w:firstLineChars="41" w:startChars="-171" w:endChars="-73"/>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spacing w:lineRule="exact" w:line="640"/>
        <w:ind w:firstLineChars="41" w:startChars="-171" w:endChars="-73"/>
        <w:jc w:val="center"/>
        <w:rPr>
          <w:rFonts w:ascii="宋体" w:hAnsi="宋体" w:cs="宋体" w:hint="eastAsia"/>
          <w:b/>
          <w:bCs/>
          <w:kern w:val="0"/>
          <w:sz w:val="32"/>
          <w:szCs w:val="32"/>
        </w:rPr>
      </w:pPr>
      <w:r>
        <w:rPr>
          <w:rFonts w:cs="宋体" w:hint="eastAsia" w:ascii="宋体" w:hAnsi="宋体"/>
          <w:b/>
          <w:bCs/>
          <w:kern w:val="0"/>
          <w:sz w:val="32"/>
          <w:szCs w:val="32"/>
        </w:rPr>
      </w:r>
    </w:p>
    <w:p>
      <w:pPr>
        <w:pStyle w:val="Normal"/>
        <w:spacing w:lineRule="exact" w:line="640"/>
        <w:ind w:firstLineChars="41" w:startChars="-171" w:endChars="-73"/>
        <w:jc w:val="center"/>
        <w:rPr>
          <w:rFonts w:ascii="宋体" w:hAnsi="宋体" w:eastAsia="宋体" w:cs="宋体" w:hint="eastAsia"/>
          <w:b/>
          <w:bCs/>
          <w:kern w:val="0"/>
          <w:sz w:val="44"/>
          <w:szCs w:val="44"/>
        </w:rPr>
      </w:pPr>
      <w:r>
        <w:rPr>
          <w:rFonts w:ascii="宋体" w:hAnsi="宋体" w:cs="宋体" w:hint="eastAsia" w:eastAsia="宋体"/>
          <w:b/>
          <w:bCs/>
          <w:kern w:val="0"/>
          <w:sz w:val="44"/>
          <w:szCs w:val="44"/>
        </w:rPr>
        <w:t>桓仁满族自治县冰葡萄酒管理条例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0" w:start="0" w:endChars="300"/>
        <w:rPr>
          <w:rFonts w:ascii="宋体" w:hAnsi="宋体" w:eastAsia="宋体" w:cs="宋体" w:hint="eastAsia"/>
          <w:b/>
          <w:bCs/>
          <w:kern w:val="0"/>
          <w:sz w:val="32"/>
          <w:szCs w:val="32"/>
        </w:rPr>
      </w:pPr>
      <w:r>
        <w:rPr>
          <w:rFonts w:eastAsia="宋体" w:cs="宋体" w:hint="eastAsia" w:ascii="宋体" w:hAnsi="宋体"/>
          <w:b/>
          <w:bCs/>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w:t>
      </w:r>
      <w:r>
        <w:rPr>
          <w:rFonts w:eastAsia="楷体" w:cs="楷体" w:hint="eastAsia" w:ascii="楷体" w:hAnsi="楷体"/>
          <w:kern w:val="0"/>
          <w:sz w:val="32"/>
        </w:rPr>
        <w:t>2011</w:t>
      </w:r>
      <w:r>
        <w:rPr>
          <w:rFonts w:ascii="楷体" w:hAnsi="楷体" w:cs="楷体" w:hint="eastAsia" w:eastAsia="楷体"/>
          <w:kern w:val="0"/>
          <w:sz w:val="32"/>
        </w:rPr>
        <w:t>年</w:t>
      </w:r>
      <w:r>
        <w:rPr>
          <w:rFonts w:eastAsia="楷体" w:cs="楷体" w:hint="eastAsia" w:ascii="楷体" w:hAnsi="楷体"/>
          <w:kern w:val="0"/>
          <w:sz w:val="32"/>
        </w:rPr>
        <w:t>12</w:t>
      </w:r>
      <w:r>
        <w:rPr>
          <w:rFonts w:ascii="楷体" w:hAnsi="楷体" w:cs="楷体" w:hint="eastAsia" w:eastAsia="楷体"/>
          <w:kern w:val="0"/>
          <w:sz w:val="32"/>
        </w:rPr>
        <w:t>月</w:t>
      </w:r>
      <w:r>
        <w:rPr>
          <w:rFonts w:eastAsia="楷体" w:cs="楷体" w:hint="eastAsia" w:ascii="楷体" w:hAnsi="楷体"/>
          <w:kern w:val="0"/>
          <w:sz w:val="32"/>
        </w:rPr>
        <w:t>24</w:t>
      </w:r>
      <w:r>
        <w:rPr>
          <w:rFonts w:ascii="楷体" w:hAnsi="楷体" w:cs="楷体" w:hint="eastAsia" w:eastAsia="楷体"/>
          <w:kern w:val="0"/>
          <w:sz w:val="32"/>
        </w:rPr>
        <w:t>日桓仁满族自治县第五届人民代表大</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会第五次会议通过  </w:t>
      </w:r>
      <w:r>
        <w:rPr>
          <w:rFonts w:eastAsia="楷体" w:cs="楷体" w:hint="eastAsia" w:ascii="楷体" w:hAnsi="楷体"/>
          <w:kern w:val="0"/>
          <w:sz w:val="32"/>
        </w:rPr>
        <w:t>2012</w:t>
      </w:r>
      <w:r>
        <w:rPr>
          <w:rFonts w:ascii="楷体" w:hAnsi="楷体" w:cs="楷体" w:hint="eastAsia" w:eastAsia="楷体"/>
          <w:kern w:val="0"/>
          <w:sz w:val="32"/>
        </w:rPr>
        <w:t>年</w:t>
      </w:r>
      <w:r>
        <w:rPr>
          <w:rFonts w:eastAsia="楷体" w:cs="楷体" w:hint="eastAsia" w:ascii="楷体" w:hAnsi="楷体"/>
          <w:kern w:val="0"/>
          <w:sz w:val="32"/>
        </w:rPr>
        <w:t>3</w:t>
      </w:r>
      <w:r>
        <w:rPr>
          <w:rFonts w:ascii="楷体" w:hAnsi="楷体" w:cs="楷体" w:hint="eastAsia" w:eastAsia="楷体"/>
          <w:kern w:val="0"/>
          <w:sz w:val="32"/>
        </w:rPr>
        <w:t>月</w:t>
      </w:r>
      <w:r>
        <w:rPr>
          <w:rFonts w:eastAsia="楷体" w:cs="楷体" w:hint="eastAsia" w:ascii="楷体" w:hAnsi="楷体"/>
          <w:kern w:val="0"/>
          <w:sz w:val="32"/>
        </w:rPr>
        <w:t>30</w:t>
      </w:r>
      <w:r>
        <w:rPr>
          <w:rFonts w:ascii="楷体" w:hAnsi="楷体" w:cs="楷体" w:hint="eastAsia" w:eastAsia="楷体"/>
          <w:kern w:val="0"/>
          <w:sz w:val="32"/>
        </w:rPr>
        <w:t>日辽宁省第十一届</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人民代表大会常务委员会第二十八次会议批准  </w:t>
      </w:r>
      <w:r>
        <w:rPr>
          <w:rFonts w:eastAsia="楷体" w:cs="楷体" w:hint="eastAsia" w:ascii="楷体" w:hAnsi="楷体"/>
          <w:kern w:val="0"/>
          <w:sz w:val="32"/>
        </w:rPr>
        <w:t>2012</w:t>
      </w:r>
      <w:r>
        <w:rPr>
          <w:rFonts w:ascii="楷体" w:hAnsi="楷体" w:cs="楷体" w:hint="eastAsia" w:eastAsia="楷体"/>
          <w:kern w:val="0"/>
          <w:sz w:val="32"/>
        </w:rPr>
        <w:t>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eastAsia="楷体" w:cs="楷体" w:hint="eastAsia" w:ascii="楷体" w:hAnsi="楷体"/>
          <w:kern w:val="0"/>
          <w:sz w:val="32"/>
        </w:rPr>
        <w:t>4</w:t>
      </w:r>
      <w:r>
        <w:rPr>
          <w:rFonts w:ascii="楷体" w:hAnsi="楷体" w:cs="楷体" w:hint="eastAsia" w:eastAsia="楷体"/>
          <w:kern w:val="0"/>
          <w:sz w:val="32"/>
        </w:rPr>
        <w:t>月</w:t>
      </w:r>
      <w:r>
        <w:rPr>
          <w:rFonts w:eastAsia="楷体" w:cs="楷体" w:hint="eastAsia" w:ascii="楷体" w:hAnsi="楷体"/>
          <w:kern w:val="0"/>
          <w:sz w:val="32"/>
        </w:rPr>
        <w:t>10</w:t>
      </w:r>
      <w:r>
        <w:rPr>
          <w:rFonts w:ascii="楷体" w:hAnsi="楷体" w:cs="楷体" w:hint="eastAsia" w:eastAsia="楷体"/>
          <w:kern w:val="0"/>
          <w:sz w:val="32"/>
        </w:rPr>
        <w:t>日桓仁满族自治县第六届人民代表大会常务委员</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会公布施行  </w:t>
      </w:r>
      <w:r>
        <w:rPr>
          <w:rFonts w:eastAsia="楷体" w:cs="楷体" w:hint="eastAsia" w:ascii="楷体" w:hAnsi="楷体"/>
          <w:kern w:val="0"/>
          <w:sz w:val="32"/>
        </w:rPr>
        <w:t>2020</w:t>
      </w:r>
      <w:r>
        <w:rPr>
          <w:rFonts w:ascii="楷体" w:hAnsi="楷体" w:cs="楷体" w:hint="eastAsia" w:eastAsia="楷体"/>
          <w:kern w:val="0"/>
          <w:sz w:val="32"/>
        </w:rPr>
        <w:t>年</w:t>
      </w:r>
      <w:r>
        <w:rPr>
          <w:rFonts w:eastAsia="楷体" w:cs="楷体" w:hint="eastAsia" w:ascii="楷体" w:hAnsi="楷体"/>
          <w:kern w:val="0"/>
          <w:sz w:val="32"/>
        </w:rPr>
        <w:t>12</w:t>
      </w:r>
      <w:r>
        <w:rPr>
          <w:rFonts w:ascii="楷体" w:hAnsi="楷体" w:cs="楷体" w:hint="eastAsia" w:eastAsia="楷体"/>
          <w:kern w:val="0"/>
          <w:sz w:val="32"/>
        </w:rPr>
        <w:t>月</w:t>
      </w:r>
      <w:r>
        <w:rPr>
          <w:rFonts w:eastAsia="楷体" w:cs="楷体" w:hint="eastAsia" w:ascii="楷体" w:hAnsi="楷体"/>
          <w:kern w:val="0"/>
          <w:sz w:val="32"/>
        </w:rPr>
        <w:t>25</w:t>
      </w:r>
      <w:r>
        <w:rPr>
          <w:rFonts w:ascii="楷体" w:hAnsi="楷体" w:cs="楷体" w:hint="eastAsia" w:eastAsia="楷体"/>
          <w:kern w:val="0"/>
          <w:sz w:val="32"/>
        </w:rPr>
        <w:t>日桓仁满族自治县第七届</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 xml:space="preserve">人民代表大会第五次会议通过修改  </w:t>
      </w:r>
      <w:r>
        <w:rPr>
          <w:rFonts w:eastAsia="楷体" w:cs="楷体" w:hint="eastAsia" w:ascii="楷体" w:hAnsi="楷体"/>
          <w:kern w:val="0"/>
          <w:sz w:val="32"/>
        </w:rPr>
        <w:t>2021</w:t>
      </w:r>
      <w:r>
        <w:rPr>
          <w:rFonts w:ascii="楷体" w:hAnsi="楷体" w:cs="楷体" w:hint="eastAsia" w:eastAsia="楷体"/>
          <w:kern w:val="0"/>
          <w:sz w:val="32"/>
        </w:rPr>
        <w:t>年</w:t>
      </w:r>
      <w:r>
        <w:rPr>
          <w:rFonts w:eastAsia="楷体" w:cs="楷体" w:hint="eastAsia" w:ascii="楷体" w:hAnsi="楷体"/>
          <w:kern w:val="0"/>
          <w:sz w:val="32"/>
        </w:rPr>
        <w:t>9</w:t>
      </w:r>
      <w:r>
        <w:rPr>
          <w:rFonts w:ascii="楷体" w:hAnsi="楷体" w:cs="楷体" w:hint="eastAsia" w:eastAsia="楷体"/>
          <w:kern w:val="0"/>
          <w:sz w:val="32"/>
        </w:rPr>
        <w:t>月</w:t>
      </w:r>
      <w:r>
        <w:rPr>
          <w:rFonts w:eastAsia="楷体" w:cs="楷体" w:hint="eastAsia" w:ascii="楷体" w:hAnsi="楷体"/>
          <w:kern w:val="0"/>
          <w:sz w:val="32"/>
        </w:rPr>
        <w:t>29</w:t>
      </w:r>
      <w:r>
        <w:rPr>
          <w:rFonts w:ascii="楷体" w:hAnsi="楷体" w:cs="楷体" w:hint="eastAsia" w:eastAsia="楷体"/>
          <w:kern w:val="0"/>
          <w:sz w:val="32"/>
        </w:rPr>
        <w:t>日</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辽宁省第十三届人民代表大会常务委员会第二十八次</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rPr>
      </w:pPr>
      <w:r>
        <w:rPr>
          <w:rFonts w:ascii="楷体" w:hAnsi="楷体" w:cs="楷体" w:hint="eastAsia" w:eastAsia="楷体"/>
          <w:kern w:val="0"/>
          <w:sz w:val="32"/>
        </w:rPr>
        <w:t>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楷体" w:hAnsi="楷体" w:eastAsia="楷体" w:cs="楷体" w:hint="eastAsia"/>
          <w:kern w:val="0"/>
          <w:sz w:val="32"/>
          <w:szCs w:val="32"/>
        </w:rPr>
      </w:pPr>
      <w:r>
        <w:rPr>
          <w:rFonts w:eastAsia="楷体" w:cs="楷体" w:hint="eastAsia" w:ascii="楷体" w:hAnsi="楷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第一条</w:t>
      </w:r>
      <w:r>
        <w:rPr>
          <w:rFonts w:ascii="仿宋" w:hAnsi="仿宋" w:cs="仿宋" w:hint="eastAsia" w:eastAsia="仿宋"/>
          <w:kern w:val="0"/>
          <w:sz w:val="32"/>
          <w:szCs w:val="32"/>
        </w:rPr>
        <w:t xml:space="preserve">  为加强桓仁冰葡萄酒生产经营管理，规范冰葡萄种植和冰葡萄酒生产经营秩序，保证桓仁冰葡萄酒的质量和特色，根据《中华人民共和国产品质量法》、《中华人民共和国食品安全法》、《中华人民共和国反不正当竞争法》和《中华人民共和国种子法》等法律法规，结合自治县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第二条</w:t>
      </w:r>
      <w:r>
        <w:rPr>
          <w:rFonts w:ascii="仿宋" w:hAnsi="仿宋" w:cs="仿宋" w:hint="eastAsia" w:eastAsia="仿宋"/>
          <w:kern w:val="0"/>
          <w:sz w:val="32"/>
          <w:szCs w:val="32"/>
        </w:rPr>
        <w:t xml:space="preserve">  凡在自治县行政区域内从事冰葡萄种植、生产及冰葡萄酒酿造、经营的单位和个人，应遵守本条例。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第三条</w:t>
      </w:r>
      <w:r>
        <w:rPr>
          <w:rFonts w:ascii="仿宋" w:hAnsi="仿宋" w:cs="仿宋" w:hint="eastAsia" w:eastAsia="仿宋"/>
          <w:kern w:val="0"/>
          <w:sz w:val="32"/>
          <w:szCs w:val="32"/>
        </w:rPr>
        <w:t xml:space="preserve">  本条例所称冰葡萄酒是指以特殊品种优质葡萄为原料，推迟葡萄正常采收期，当气温持续低于</w:t>
      </w:r>
      <w:r>
        <w:rPr>
          <w:rFonts w:eastAsia="仿宋" w:cs="仿宋" w:hint="eastAsia" w:ascii="仿宋" w:hAnsi="仿宋"/>
          <w:kern w:val="0"/>
          <w:sz w:val="32"/>
          <w:szCs w:val="32"/>
        </w:rPr>
        <w:t>-7℃</w:t>
      </w:r>
      <w:r>
        <w:rPr>
          <w:rFonts w:ascii="仿宋" w:hAnsi="仿宋" w:cs="仿宋" w:hint="eastAsia" w:eastAsia="仿宋"/>
          <w:kern w:val="0"/>
          <w:sz w:val="32"/>
          <w:szCs w:val="32"/>
        </w:rPr>
        <w:t>，在结冰状态下采收，通过压榨、发酵酿制而成的葡萄酒。</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第四条</w:t>
      </w:r>
      <w:r>
        <w:rPr>
          <w:rFonts w:ascii="仿宋" w:hAnsi="仿宋" w:cs="仿宋" w:hint="eastAsia" w:eastAsia="仿宋"/>
          <w:kern w:val="0"/>
          <w:sz w:val="32"/>
          <w:szCs w:val="32"/>
        </w:rPr>
        <w:t xml:space="preserve">  自治县人民政府负责冰葡萄酒管理的组织领导和协调工作。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自治县人民政府农业行政、市场监督管理等部门依据各自职责分别对冰葡萄及冰葡萄酒生产经营活动实施监督管理。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第五条</w:t>
      </w:r>
      <w:r>
        <w:rPr>
          <w:rFonts w:ascii="仿宋" w:hAnsi="仿宋" w:cs="仿宋" w:hint="eastAsia" w:eastAsia="仿宋"/>
          <w:kern w:val="0"/>
          <w:sz w:val="32"/>
          <w:szCs w:val="32"/>
        </w:rPr>
        <w:t xml:space="preserve">  冰葡萄种植基地应当向自治县农业行政主管部门备案。</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冰葡萄的生产应当达到无公害农产品质量标准。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冰葡萄酒酿造企业应当有与本企业生产规模相一致的冰葡萄种植基地。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新建、改建的冰葡萄酒酿造企业实行投资项目备案管理制度。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第七条</w:t>
      </w:r>
      <w:r>
        <w:rPr>
          <w:rFonts w:ascii="仿宋" w:hAnsi="仿宋" w:cs="仿宋" w:hint="eastAsia" w:eastAsia="仿宋"/>
          <w:kern w:val="0"/>
          <w:sz w:val="32"/>
          <w:szCs w:val="32"/>
        </w:rPr>
        <w:t xml:space="preserve">  冰葡萄酒酿造企业应当制定采购冰葡萄的进货查验记录制度，并建立收购档案，档案保存期不得少于二年。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第八条</w:t>
      </w:r>
      <w:r>
        <w:rPr>
          <w:rFonts w:ascii="仿宋" w:hAnsi="仿宋" w:cs="仿宋" w:hint="eastAsia" w:eastAsia="仿宋"/>
          <w:kern w:val="0"/>
          <w:sz w:val="32"/>
          <w:szCs w:val="32"/>
        </w:rPr>
        <w:t xml:space="preserve">  冰葡萄酒酿造企业生产的冰葡萄酒与本企业收购的冰葡萄数量和质量应当相匹配，生产的冰葡萄酒应当标注产品识别编码，并注明原料产地。</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第九条</w:t>
      </w:r>
      <w:r>
        <w:rPr>
          <w:rFonts w:ascii="仿宋" w:hAnsi="仿宋" w:cs="仿宋" w:hint="eastAsia" w:eastAsia="仿宋"/>
          <w:kern w:val="0"/>
          <w:sz w:val="32"/>
          <w:szCs w:val="32"/>
        </w:rPr>
        <w:t xml:space="preserve">  冰葡萄酒酿造企业不得使用人工冷冻的葡萄代替冰葡萄酒原料，禁止加入外源糖和增稠剂。</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第十条</w:t>
      </w:r>
      <w:r>
        <w:rPr>
          <w:rFonts w:ascii="仿宋" w:hAnsi="仿宋" w:cs="仿宋" w:hint="eastAsia" w:eastAsia="仿宋"/>
          <w:kern w:val="0"/>
          <w:sz w:val="32"/>
          <w:szCs w:val="32"/>
        </w:rPr>
        <w:t xml:space="preserve">  禁止生产和经营不符合质量安全标准的冰葡萄酒。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禁止在酿造、经营的冰葡萄酒中掺杂、掺假，以假充真，以次充好，以不合格产品冒充合格产品。</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禁止生产、经营无质量合格证明、无标签或者标签残缺不清、未标注原料产地、未标注识别编码的冰葡萄酒。</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第十一条</w:t>
      </w:r>
      <w:r>
        <w:rPr>
          <w:rFonts w:ascii="仿宋" w:hAnsi="仿宋" w:cs="仿宋" w:hint="eastAsia" w:eastAsia="仿宋"/>
          <w:kern w:val="0"/>
          <w:sz w:val="32"/>
          <w:szCs w:val="32"/>
        </w:rPr>
        <w:t xml:space="preserve">  冰葡萄酒生产和经营者不得伪造产地，不得伪造或者冒用他人的厂名、厂址，不得伪造或者冒用认证标志等质量标志，对冰葡萄酒质量作引人误解的虚假表示，不得假冒他人注册商标。不得擅自使用知名冰葡萄酒特有的名称、包装、装潢，或者使用与知名冰葡萄酒近似的名称、包装、装潢，造成和他人的知名冰葡萄酒相混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第十二条</w:t>
      </w:r>
      <w:r>
        <w:rPr>
          <w:rFonts w:ascii="仿宋" w:hAnsi="仿宋" w:cs="仿宋" w:hint="eastAsia" w:eastAsia="仿宋"/>
          <w:kern w:val="0"/>
          <w:sz w:val="32"/>
          <w:szCs w:val="32"/>
        </w:rPr>
        <w:t xml:space="preserve">  冰葡萄酒生产和经营者不得利用广告或者其他方法，对企业规模、种植基地及冰葡萄酒的质量、制作成分、性能、用途、生产者、有效期限、产地等作引人误解的虚假宣传。</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第十三条</w:t>
      </w:r>
      <w:r>
        <w:rPr>
          <w:rFonts w:ascii="仿宋" w:hAnsi="仿宋" w:cs="仿宋" w:hint="eastAsia" w:eastAsia="仿宋"/>
          <w:kern w:val="0"/>
          <w:sz w:val="32"/>
          <w:szCs w:val="32"/>
        </w:rPr>
        <w:t xml:space="preserve">  未经授权，冰葡萄酒生产和经营者不得在产品标识及宣传资料中使用“桓仁冰酒地理标志产品专用标志”。</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第十四条</w:t>
      </w:r>
      <w:r>
        <w:rPr>
          <w:rFonts w:ascii="仿宋" w:hAnsi="仿宋" w:cs="仿宋" w:hint="eastAsia" w:eastAsia="仿宋"/>
          <w:kern w:val="0"/>
          <w:sz w:val="32"/>
          <w:szCs w:val="32"/>
        </w:rPr>
        <w:t xml:space="preserve">  冰葡萄酒酿造企业应当建立冰葡萄酒出厂检验记录制度，查验出厂冰葡萄酒的检验合格证和安全状况，并如实记录冰葡萄酒的名称、规格、数量、生产日期、生产批号、检验合格证号、购货者名称及联系方式、销售日期等内容。并按批次为购货者出具冰葡萄酒质量检测报告及销售单据等资料，保存期不得少于二年。</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第十五条</w:t>
      </w:r>
      <w:r>
        <w:rPr>
          <w:rFonts w:ascii="仿宋" w:hAnsi="仿宋" w:cs="仿宋" w:hint="eastAsia" w:eastAsia="仿宋"/>
          <w:kern w:val="0"/>
          <w:sz w:val="32"/>
          <w:szCs w:val="32"/>
        </w:rPr>
        <w:t xml:space="preserve">  自治县人民政府应当建立冰葡萄酒流通溯源制度。</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第十六条</w:t>
      </w:r>
      <w:r>
        <w:rPr>
          <w:rFonts w:ascii="仿宋" w:hAnsi="仿宋" w:cs="仿宋" w:hint="eastAsia" w:eastAsia="仿宋"/>
          <w:kern w:val="0"/>
          <w:sz w:val="32"/>
          <w:szCs w:val="32"/>
        </w:rPr>
        <w:t xml:space="preserve">  自治县人民政府组织相关行政管理部门制定本行政区域的冰葡萄酒安全年度监督管理计划，并按照年度计划组织开展工作。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自治县市场监督管理部门应当对冰葡萄酒进行抽样检验。</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第十七条</w:t>
      </w:r>
      <w:r>
        <w:rPr>
          <w:rFonts w:ascii="仿宋" w:hAnsi="仿宋" w:cs="仿宋" w:hint="eastAsia" w:eastAsia="仿宋"/>
          <w:kern w:val="0"/>
          <w:sz w:val="32"/>
          <w:szCs w:val="32"/>
        </w:rPr>
        <w:t xml:space="preserve">  自治县市场监督管理部门应当建立冰葡萄酒酿造企业和经营者食品安全信用档案，记录许可颁发、日常监督检查结果、违法行为查处等情况；根据信用档案的记录，对有不良信用记录的冰葡萄酒酿造经营者增加监督检查频次。</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第十八条</w:t>
      </w:r>
      <w:r>
        <w:rPr>
          <w:rFonts w:ascii="仿宋" w:hAnsi="仿宋" w:cs="仿宋" w:hint="eastAsia" w:eastAsia="仿宋"/>
          <w:kern w:val="0"/>
          <w:sz w:val="32"/>
          <w:szCs w:val="32"/>
        </w:rPr>
        <w:t xml:space="preserve">  自治县农业行政、市场监督管理部门履行各自监督管理职责，有权采取下列措施：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（一）进入生产经营场所实施现场检查；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（二）对生产经营的冰葡萄酒进行抽样检验；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（三）查阅、复制有关合同、票据、账簿以及其他有关资料；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 xml:space="preserve">（四）查封、扣押有证据证明不符合食品安全标准的冰葡萄酒，违法使用的原料、添加剂、相关产品，以及用于违法生产经营或者被污染的工具、设备； </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（五）查封违法从事冰葡萄酒生产经营活动的场所。</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第十九条</w:t>
      </w:r>
      <w:r>
        <w:rPr>
          <w:rFonts w:ascii="仿宋" w:hAnsi="仿宋" w:cs="仿宋" w:hint="eastAsia" w:eastAsia="仿宋"/>
          <w:kern w:val="0"/>
          <w:sz w:val="32"/>
          <w:szCs w:val="32"/>
        </w:rPr>
        <w:t xml:space="preserve">  违反本条例规定，有下列情形之一的，由自治县人民政府相关部门按照各自职责给予处罚：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（一）违反本条例第九条规定的，责令改正，给予警告；拒不改正的，处</w:t>
      </w:r>
      <w:r>
        <w:rPr>
          <w:rFonts w:eastAsia="仿宋" w:cs="仿宋" w:hint="eastAsia" w:ascii="仿宋" w:hAnsi="仿宋"/>
          <w:kern w:val="0"/>
          <w:sz w:val="32"/>
          <w:szCs w:val="32"/>
        </w:rPr>
        <w:t>5000</w:t>
      </w:r>
      <w:r>
        <w:rPr>
          <w:rFonts w:ascii="仿宋" w:hAnsi="仿宋" w:cs="仿宋" w:hint="eastAsia" w:eastAsia="仿宋"/>
          <w:kern w:val="0"/>
          <w:sz w:val="32"/>
          <w:szCs w:val="32"/>
        </w:rPr>
        <w:t>元罚款；情节严重的，责令停产停业，直至依法吊销生产许可证。</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（二）违反本条例第十一条、第十二条第一款和第二款规定的，依照《中华人民共和国产品质量法》的相关规定处罚。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（三）违反本条例第十二条第三款规定的，依照《中华人民共和国食品安全法》的相关规定给予处罚。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（四）违反本条例第十三条、第十四条规定的，依照《中华人民共和国反不正当竞争法》和《中华人民共和国广告法》等相关规定给予处罚。</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仿宋" w:hAnsi="仿宋" w:cs="仿宋" w:hint="eastAsia" w:eastAsia="仿宋"/>
          <w:kern w:val="0"/>
          <w:sz w:val="32"/>
          <w:szCs w:val="32"/>
        </w:rPr>
        <w:t>（五）违反本条例第十五条规定的，责令改正，没收违法生产、销售的产品，并处违法生产、销售产品货值金额等值以下的罚款；有违法所得的，并处没收违法所得；情节严重的，依法吊销营业执照。</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第二十条</w:t>
      </w:r>
      <w:r>
        <w:rPr>
          <w:rFonts w:ascii="仿宋" w:hAnsi="仿宋" w:cs="仿宋" w:hint="eastAsia" w:eastAsia="仿宋"/>
          <w:kern w:val="0"/>
          <w:sz w:val="32"/>
          <w:szCs w:val="32"/>
        </w:rPr>
        <w:t xml:space="preserve">  自治县相关行政主管部门工作人员玩忽职守、滥用职权、假公济私、徇私舞弊的，由所在单位或者上级主管部门给予行政处分，构成犯罪的，依法追究刑事责任。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200" w:startChars="0" w:start="0" w:endChars="0" w:end="0"/>
        <w:rPr>
          <w:rFonts w:ascii="仿宋" w:hAnsi="仿宋" w:eastAsia="仿宋" w:cs="仿宋" w:hint="eastAsia"/>
          <w:kern w:val="0"/>
          <w:sz w:val="32"/>
          <w:szCs w:val="32"/>
        </w:rPr>
      </w:pPr>
      <w:r>
        <w:rPr>
          <w:rFonts w:ascii="黑体" w:hAnsi="黑体" w:cs="黑体" w:hint="eastAsia" w:eastAsia="黑体"/>
          <w:kern w:val="0"/>
          <w:sz w:val="32"/>
          <w:szCs w:val="32"/>
        </w:rPr>
        <w:t>第二十一条</w:t>
      </w:r>
      <w:r>
        <w:rPr>
          <w:rFonts w:ascii="仿宋" w:hAnsi="仿宋" w:cs="仿宋" w:hint="eastAsia" w:eastAsia="仿宋"/>
          <w:kern w:val="0"/>
          <w:sz w:val="32"/>
          <w:szCs w:val="32"/>
        </w:rPr>
        <w:t xml:space="preserve">  本条例自</w:t>
      </w:r>
      <w:r>
        <w:rPr>
          <w:rFonts w:eastAsia="仿宋" w:cs="仿宋" w:hint="eastAsia" w:ascii="仿宋" w:hAnsi="仿宋"/>
          <w:kern w:val="0"/>
          <w:sz w:val="32"/>
          <w:szCs w:val="32"/>
        </w:rPr>
        <w:t>2012</w:t>
      </w:r>
      <w:r>
        <w:rPr>
          <w:rFonts w:ascii="仿宋" w:hAnsi="仿宋" w:cs="仿宋" w:hint="eastAsia" w:eastAsia="仿宋"/>
          <w:kern w:val="0"/>
          <w:sz w:val="32"/>
          <w:szCs w:val="32"/>
        </w:rPr>
        <w:t>年</w:t>
      </w:r>
      <w:r>
        <w:rPr>
          <w:rFonts w:eastAsia="仿宋" w:cs="仿宋" w:hint="eastAsia" w:ascii="仿宋" w:hAnsi="仿宋"/>
          <w:kern w:val="0"/>
          <w:sz w:val="32"/>
          <w:szCs w:val="32"/>
        </w:rPr>
        <w:t>4</w:t>
      </w:r>
      <w:r>
        <w:rPr>
          <w:rFonts w:ascii="仿宋" w:hAnsi="仿宋" w:cs="仿宋" w:hint="eastAsia" w:eastAsia="仿宋"/>
          <w:kern w:val="0"/>
          <w:sz w:val="32"/>
          <w:szCs w:val="32"/>
        </w:rPr>
        <w:t>月</w:t>
      </w:r>
      <w:r>
        <w:rPr>
          <w:rFonts w:eastAsia="仿宋" w:cs="仿宋" w:hint="eastAsia" w:ascii="仿宋" w:hAnsi="仿宋"/>
          <w:kern w:val="0"/>
          <w:sz w:val="32"/>
          <w:szCs w:val="32"/>
        </w:rPr>
        <w:t>10</w:t>
      </w:r>
      <w:r>
        <w:rPr>
          <w:rFonts w:ascii="仿宋" w:hAnsi="仿宋" w:cs="仿宋" w:hint="eastAsia" w:eastAsia="仿宋"/>
          <w:kern w:val="0"/>
          <w:sz w:val="32"/>
          <w:szCs w:val="32"/>
        </w:rPr>
        <w:t>日起施行。</w:t>
      </w:r>
    </w:p>
    <w:p>
      <w:pPr>
        <w:pStyle w:val="Normal"/>
        <w:ind w:firstLineChars="2457" w:startChars="0" w:start="0" w:endChars="0" w:end="0"/>
        <w:rPr>
          <w:rFonts w:ascii="仿宋" w:hAnsi="仿宋" w:eastAsia="黑体" w:cs="仿宋" w:hint="eastAsia"/>
          <w:kern w:val="0"/>
          <w:sz w:val="28"/>
          <w:szCs w:val="32"/>
        </w:rPr>
      </w:pPr>
      <w:r>
        <w:rPr>
          <w:rFonts w:eastAsia="黑体" w:cs="仿宋" w:hint="eastAsia" w:ascii="仿宋" w:hAnsi="仿宋"/>
          <w:kern w:val="0"/>
          <w:sz w:val="28"/>
          <w:szCs w:val="32"/>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p>
      <w:pPr>
        <w:pStyle w:val="Normal"/>
        <w:ind w:firstLineChars="2457" w:startChars="0" w:start="0" w:endChars="0" w:end="0"/>
        <w:rPr>
          <w:rFonts w:eastAsia="黑体" w:hint="eastAsia"/>
          <w:sz w:val="28"/>
        </w:rPr>
      </w:pPr>
      <w:r>
        <w:rPr>
          <w:rFonts w:eastAsia="黑体" w:hint="eastAsia"/>
          <w:sz w:val="28"/>
        </w:rPr>
      </w:r>
    </w:p>
    <w:sectPr>
      <w:footerReference w:type="default" r:id="rId2"/>
      <w:type w:val="nextPage"/>
      <w:pgSz w:w="11906" w:h="16838"/>
      <w:pgMar w:left="1531" w:right="1474" w:gutter="0" w:header="0" w:top="2154" w:footer="1077" w:bottom="1361"/>
      <w:pgNumType w:fmt="decimal"/>
      <w:formProt w:val="false"/>
      <w:textDirection w:val="lrTb"/>
      <w:docGrid w:type="lines" w:linePitch="45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Calibri">
    <w:charset w:val="00" w:characterSet="windows-1252"/>
    <w:family w:val="swiss"/>
    <w:pitch w:val="default"/>
  </w:font>
  <w:font w:name="楷体">
    <w:charset w:val="86"/>
    <w:family w:val="auto"/>
    <w:pitch w:val="default"/>
  </w:font>
  <w:font w:name="黑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1050" w:leader="none"/>
      </w:tabs>
      <w:ind w:end="360"/>
      <w:rPr/>
    </w:pPr>
    <w:r>
      <w:rPr/>
      <w:tab/>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50875" cy="30480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4800"/>
                      </a:xfrm>
                      <a:prstGeom prst="rect"/>
                      <a:solidFill>
                        <a:srgbClr val="FFFFFF">
                          <a:alpha val="0"/>
                        </a:srgbClr>
                      </a:solidFill>
                    </wps:spPr>
                    <wps:txbx>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r>
                            <w:rPr>
                              <w:sz w:val="28"/>
                            </w:rPr>
                            <w:t xml:space="preserve"> —</w:t>
                          </w:r>
                        </w:p>
                      </w:txbxContent>
                    </wps:txbx>
                    <wps:bodyPr anchor="t" lIns="0" tIns="0" rIns="0" bIns="0">
                      <a:noAutofit/>
                    </wps:bodyPr>
                  </wps:wsp>
                </a:graphicData>
              </a:graphic>
            </wp:anchor>
          </w:drawing>
        </mc:Choice>
        <mc:Fallback>
          <w:pict>
            <v:rect fillcolor="#FFFFFF" style="position:absolute;rotation:-0;width:51.25pt;height:24pt;mso-wrap-distance-left:0pt;mso-wrap-distance-right:0pt;mso-wrap-distance-top:0pt;mso-wrap-distance-bottom:0pt;margin-top:0.05pt;mso-position-vertical-relative:text;margin-left:393.8pt;mso-position-horizontal:outside;mso-position-horizontal-relative:margin">
              <v:fill opacity="0f"/>
              <v:textbox inset="0in,0in,0in,0in">
                <w:txbxContent>
                  <w:p>
                    <w:pPr>
                      <w:pStyle w:val="Footer"/>
                      <w:spacing w:lineRule="exact" w:line="480"/>
                      <w:jc w:val="start"/>
                      <w:rPr>
                        <w:rStyle w:val="PageNumber"/>
                        <w:rFonts w:hint="eastAsia"/>
                        <w:sz w:val="28"/>
                      </w:rPr>
                    </w:pPr>
                    <w:r>
                      <w:rPr>
                        <w:rFonts w:hint="eastAsia"/>
                        <w:sz w:val="28"/>
                      </w:rPr>
                      <w:t xml:space="preserve">  </w:t>
                    </w:r>
                    <w:r>
                      <w:rPr>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5</w:t>
                    </w:r>
                    <w:r>
                      <w:rPr>
                        <w:rFonts w:eastAsia="宋体" w:cs="宋体" w:hint="eastAsia" w:ascii="宋体" w:hAnsi="宋体"/>
                        <w:sz w:val="28"/>
                      </w:rPr>
                      <w:fldChar w:fldCharType="end"/>
                    </w:r>
                    <w:r>
                      <w:rPr>
                        <w:sz w:val="28"/>
                      </w:rPr>
                      <w:t xml:space="preserve"> —</w:t>
                    </w:r>
                  </w:p>
                </w:txbxContent>
              </v:textbox>
              <w10:wrap type="square"/>
            </v:rect>
          </w:pict>
        </mc:Fallback>
      </mc:AlternateContent>
    </w:r>
  </w:p>
</w:ftr>
</file>

<file path=word/settings.xml><?xml version="1.0" encoding="utf-8"?>
<w:settings xmlns:w="http://schemas.openxmlformats.org/wordprocessingml/2006/main">
  <w:zoom w:percent="8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5"/>
        <w:tab w:val="left" w:pos="8800" w:leader="none"/>
      </w:tabs>
      <w:spacing w:lineRule="exact" w:line="620"/>
      <w:ind w:firstLine="630" w:start="0" w:end="0"/>
    </w:pPr>
    <w:rPr>
      <w:szCs w:val="32"/>
    </w:rPr>
  </w:style>
  <w:style w:type="paragraph" w:styleId="Style15">
    <w:name w:val="日期"/>
    <w:basedOn w:val="Normal"/>
    <w:next w:val="Normal"/>
    <w:qFormat/>
    <w:pPr>
      <w:ind w:hanging="0" w:start="100" w:end="0"/>
    </w:pPr>
    <w:rPr>
      <w:rFonts w:eastAsia="宋体"/>
      <w:sz w:val="30"/>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rFonts w:eastAsia="宋体"/>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Char">
    <w:name w:val="Char"/>
    <w:basedOn w:val="Normal"/>
    <w:qFormat/>
    <w:pPr>
      <w:widowControl/>
      <w:spacing w:lineRule="exact" w:line="240" w:before="0" w:after="160"/>
      <w:jc w:val="start"/>
    </w:pPr>
    <w:rPr>
      <w:rFonts w:ascii="Times New Roman" w:hAnsi="Times New Roman" w:eastAsia="仿宋_GB2312" w:cs="Times New Roman"/>
      <w:sz w:val="36"/>
      <w:szCs w:val="32"/>
    </w:rPr>
  </w:style>
  <w:style w:type="paragraph" w:styleId="p0">
    <w:name w:val="p0"/>
    <w:basedOn w:val="Normal"/>
    <w:qFormat/>
    <w:pPr>
      <w:widowControl/>
    </w:pPr>
    <w:rPr>
      <w:kern w:val="0"/>
      <w:szCs w:val="21"/>
    </w:rPr>
  </w:style>
  <w:style w:type="paragraph" w:styleId="New">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2013-11-06T02:45:00Z</dcterms:created>
  <dc:creator>cyh</dc:creator>
  <dc:description/>
  <dc:language>en-US</dc:language>
  <cp:lastModifiedBy>jiawei</cp:lastModifiedBy>
  <cp:lastPrinted>2020-12-19T06:38:00Z</cp:lastPrinted>
  <dcterms:modified xsi:type="dcterms:W3CDTF">2021-12-17T17:17:54Z</dcterms:modified>
  <cp:revision>5</cp:revision>
  <dc:subject/>
  <dc:title>桓政[2003]号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27E6D4A707D444CF8D09AEF0975B2905</vt:lpwstr>
  </property>
  <property fmtid="{D5CDD505-2E9C-101B-9397-08002B2CF9AE}" pid="3" name="KSOProductBuildVer">
    <vt:lpwstr>2052-11.1.0.11115</vt:lpwstr>
  </property>
</Properties>
</file>