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60"/>
        <w:jc w:val="both"/>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b w:val="false"/>
          <w:bCs/>
          <w:sz w:val="44"/>
        </w:rPr>
      </w:pPr>
      <w:bookmarkStart w:id="0" w:name="OLE_LINK1"/>
      <w:r>
        <w:rPr>
          <w:rFonts w:ascii="黑体" w:hAnsi="黑体" w:cs="黑体" w:hint="eastAsia" w:eastAsia="黑体"/>
          <w:b w:val="false"/>
          <w:bCs/>
          <w:sz w:val="44"/>
        </w:rPr>
        <w:t>辽宁省人民代表大会常务委员会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b w:val="false"/>
          <w:bCs/>
          <w:sz w:val="44"/>
        </w:rPr>
      </w:pPr>
      <w:r>
        <w:rPr>
          <w:rFonts w:ascii="黑体" w:hAnsi="黑体" w:cs="黑体" w:hint="eastAsia" w:eastAsia="黑体"/>
          <w:b w:val="false"/>
          <w:bCs/>
          <w:sz w:val="44"/>
        </w:rPr>
        <w:t>关于修改《辽宁省社会组织管理条例》</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b w:val="false"/>
          <w:bCs/>
          <w:sz w:val="44"/>
        </w:rPr>
      </w:pPr>
      <w:r>
        <w:rPr>
          <w:rFonts w:ascii="黑体" w:hAnsi="黑体" w:cs="黑体" w:hint="eastAsia" w:eastAsia="黑体"/>
          <w:b w:val="false"/>
          <w:bCs/>
          <w:sz w:val="44"/>
        </w:rPr>
        <w:t>等</w:t>
      </w:r>
      <w:r>
        <w:rPr>
          <w:rFonts w:eastAsia="黑体" w:cs="黑体" w:hint="eastAsia" w:ascii="黑体" w:hAnsi="黑体"/>
          <w:b w:val="false"/>
          <w:bCs/>
          <w:sz w:val="44"/>
        </w:rPr>
        <w:t>6</w:t>
      </w:r>
      <w:r>
        <w:rPr>
          <w:rFonts w:ascii="黑体" w:hAnsi="黑体" w:cs="黑体" w:hint="eastAsia" w:eastAsia="黑体"/>
          <w:b w:val="false"/>
          <w:bCs/>
          <w:sz w:val="44"/>
        </w:rPr>
        <w:t>件地方性法规的决定</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楷体" w:hAnsi="楷体" w:eastAsia="楷体" w:cs="楷体" w:hint="eastAsia"/>
          <w:b w:val="false"/>
          <w:bCs w:val="false"/>
          <w:color w:val="000000"/>
          <w:sz w:val="32"/>
          <w:szCs w:val="32"/>
        </w:rPr>
      </w:pPr>
      <w:r>
        <w:rPr>
          <w:rFonts w:eastAsia="楷体" w:cs="楷体" w:hint="eastAsia" w:ascii="楷体" w:hAnsi="楷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楷体" w:hAnsi="楷体" w:eastAsia="楷体" w:cs="楷体"/>
          <w:color w:val="000000"/>
          <w:sz w:val="32"/>
          <w:szCs w:val="32"/>
        </w:rPr>
      </w:pP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5</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常务委员会第二十六次会议通过</w:t>
      </w:r>
      <w:r>
        <w:rPr>
          <w:rFonts w:eastAsia="楷体" w:cs="楷体" w:hint="eastAsia" w:ascii="楷体" w:hAnsi="楷体"/>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宋体" w:hAnsi="宋体" w:eastAsia="楷体" w:cs="宋体" w:hint="eastAsia"/>
          <w:b/>
          <w:color w:val="000000"/>
          <w:sz w:val="32"/>
          <w:szCs w:val="32"/>
        </w:rPr>
      </w:pPr>
      <w:r>
        <w:rPr>
          <w:rFonts w:eastAsia="楷体"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ascii="仿宋" w:hAnsi="仿宋" w:cs="仿宋" w:hint="eastAsia" w:eastAsia="仿宋"/>
          <w:color w:val="000000"/>
          <w:sz w:val="32"/>
          <w:szCs w:val="32"/>
        </w:rPr>
        <w:t>辽宁省第十三届人民代表大会常务委员会第</w:t>
      </w:r>
      <w:r>
        <w:rPr>
          <w:rFonts w:ascii="仿宋" w:hAnsi="仿宋" w:cs="仿宋" w:hint="eastAsia"/>
          <w:color w:val="000000"/>
          <w:sz w:val="32"/>
          <w:szCs w:val="32"/>
        </w:rPr>
        <w:t>二十六</w:t>
      </w:r>
      <w:r>
        <w:rPr>
          <w:rFonts w:ascii="仿宋" w:hAnsi="仿宋" w:cs="仿宋" w:hint="eastAsia" w:eastAsia="仿宋"/>
          <w:color w:val="000000"/>
          <w:sz w:val="32"/>
          <w:szCs w:val="32"/>
        </w:rPr>
        <w:t>次会议决定</w:t>
      </w:r>
      <w:r>
        <w:rPr>
          <w:rFonts w:ascii="仿宋" w:hAnsi="仿宋" w:cs="仿宋" w:hint="eastAsia"/>
          <w:color w:val="000000"/>
          <w:sz w:val="32"/>
          <w:szCs w:val="32"/>
        </w:rPr>
        <w:t>对</w:t>
      </w:r>
      <w:r>
        <w:rPr>
          <w:rFonts w:ascii="仿宋" w:hAnsi="仿宋" w:cs="仿宋" w:hint="eastAsia" w:eastAsia="仿宋"/>
          <w:color w:val="000000"/>
          <w:sz w:val="32"/>
          <w:szCs w:val="32"/>
        </w:rPr>
        <w:t>《</w:t>
      </w:r>
      <w:r>
        <w:rPr>
          <w:rFonts w:ascii="仿宋" w:hAnsi="仿宋" w:cs="仿宋" w:hint="eastAsia"/>
          <w:color w:val="000000"/>
          <w:sz w:val="32"/>
          <w:szCs w:val="32"/>
        </w:rPr>
        <w:t>辽宁省社会组织管理条例》等</w:t>
      </w:r>
      <w:r>
        <w:rPr>
          <w:rFonts w:cs="仿宋" w:hint="eastAsia" w:ascii="仿宋" w:hAnsi="仿宋"/>
          <w:color w:val="000000"/>
          <w:sz w:val="32"/>
          <w:szCs w:val="32"/>
        </w:rPr>
        <w:t>6</w:t>
      </w:r>
      <w:r>
        <w:rPr>
          <w:rFonts w:ascii="仿宋" w:hAnsi="仿宋" w:cs="仿宋" w:hint="eastAsia"/>
          <w:color w:val="000000"/>
          <w:sz w:val="32"/>
          <w:szCs w:val="32"/>
        </w:rPr>
        <w:t>件地方性法规作如下修改：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一、辽宁省社会组织管理条例</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1.</w:t>
      </w:r>
      <w:r>
        <w:rPr>
          <w:rFonts w:ascii="仿宋" w:hAnsi="仿宋" w:cs="仿宋" w:hint="eastAsia"/>
          <w:color w:val="000000"/>
          <w:sz w:val="32"/>
          <w:szCs w:val="32"/>
        </w:rPr>
        <w:t>将第八条修改为：“登记管理机关应当对申请人提交的设立登记申请材料进行审查，依照法定程序办理。”</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2.</w:t>
      </w:r>
      <w:r>
        <w:rPr>
          <w:rFonts w:ascii="仿宋" w:hAnsi="仿宋" w:cs="仿宋" w:hint="eastAsia"/>
          <w:color w:val="000000"/>
          <w:sz w:val="32"/>
          <w:szCs w:val="32"/>
        </w:rPr>
        <w:t>将第十二条修改为：“社会组织的会员（会员代表）大会、理事会等社会组织的权力机构或者决策机构，依法行使下列职权：</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w:t>
      </w:r>
      <w:r>
        <w:rPr>
          <w:rFonts w:ascii="仿宋" w:hAnsi="仿宋" w:cs="仿宋" w:hint="eastAsia"/>
          <w:color w:val="000000"/>
          <w:sz w:val="32"/>
          <w:szCs w:val="32"/>
        </w:rPr>
        <w:t>（一）制定修改章程；</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w:t>
      </w:r>
      <w:r>
        <w:rPr>
          <w:rFonts w:ascii="仿宋" w:hAnsi="仿宋" w:cs="仿宋" w:hint="eastAsia"/>
          <w:color w:val="000000"/>
          <w:sz w:val="32"/>
          <w:szCs w:val="32"/>
        </w:rPr>
        <w:t>（二）制定修改会费标准；</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w:t>
      </w:r>
      <w:r>
        <w:rPr>
          <w:rFonts w:ascii="仿宋" w:hAnsi="仿宋" w:cs="仿宋" w:hint="eastAsia"/>
          <w:color w:val="000000"/>
          <w:sz w:val="32"/>
          <w:szCs w:val="32"/>
        </w:rPr>
        <w:t>（三）制定修改选举办法；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w:t>
      </w:r>
      <w:r>
        <w:rPr>
          <w:rFonts w:ascii="仿宋" w:hAnsi="仿宋" w:cs="仿宋" w:hint="eastAsia"/>
          <w:color w:val="000000"/>
          <w:sz w:val="32"/>
          <w:szCs w:val="32"/>
        </w:rPr>
        <w:t>（四）审议工作报告和财务报告；</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w:t>
      </w:r>
      <w:r>
        <w:rPr>
          <w:rFonts w:ascii="仿宋" w:hAnsi="仿宋" w:cs="仿宋" w:hint="eastAsia"/>
          <w:color w:val="000000"/>
          <w:sz w:val="32"/>
          <w:szCs w:val="32"/>
        </w:rPr>
        <w:t>（五）决定终止事项；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color w:val="000000"/>
          <w:sz w:val="32"/>
          <w:szCs w:val="32"/>
        </w:rPr>
      </w:pPr>
      <w:r>
        <w:rPr>
          <w:rFonts w:cs="仿宋" w:hint="eastAsia" w:ascii="仿宋" w:hAnsi="仿宋"/>
          <w:color w:val="000000"/>
          <w:sz w:val="32"/>
          <w:szCs w:val="32"/>
        </w:rPr>
        <w:t>“</w:t>
      </w:r>
      <w:r>
        <w:rPr>
          <w:rFonts w:ascii="仿宋" w:hAnsi="仿宋" w:cs="仿宋" w:hint="eastAsia"/>
          <w:color w:val="000000"/>
          <w:sz w:val="32"/>
          <w:szCs w:val="32"/>
        </w:rPr>
        <w:t>（六）章程规定的其他事项。”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3.</w:t>
      </w:r>
      <w:r>
        <w:rPr>
          <w:rFonts w:ascii="仿宋" w:hAnsi="仿宋" w:cs="仿宋" w:hint="eastAsia"/>
          <w:color w:val="000000"/>
          <w:sz w:val="32"/>
          <w:szCs w:val="32"/>
        </w:rPr>
        <w:t>将第三十三条第一项修改为：“（一）对申请登记的社会组织未依法登记的；”</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二、辽宁省实施《中华人民共和国献血法》办法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1.</w:t>
      </w:r>
      <w:r>
        <w:rPr>
          <w:rFonts w:ascii="仿宋" w:hAnsi="仿宋" w:cs="仿宋" w:hint="eastAsia"/>
          <w:color w:val="000000"/>
          <w:sz w:val="32"/>
          <w:szCs w:val="32"/>
        </w:rPr>
        <w:t>删除第十二条。</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2.</w:t>
      </w:r>
      <w:r>
        <w:rPr>
          <w:rFonts w:ascii="仿宋" w:hAnsi="仿宋" w:cs="仿宋" w:hint="eastAsia"/>
          <w:color w:val="000000"/>
          <w:sz w:val="32"/>
          <w:szCs w:val="32"/>
        </w:rPr>
        <w:t>删除第十三条。</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3.</w:t>
      </w:r>
      <w:r>
        <w:rPr>
          <w:rFonts w:ascii="仿宋" w:hAnsi="仿宋" w:cs="仿宋" w:hint="eastAsia"/>
          <w:color w:val="000000"/>
          <w:sz w:val="32"/>
          <w:szCs w:val="32"/>
        </w:rPr>
        <w:t>将第二十二条作为第二十条，修改为：“医疗机构的医务人员违反规定，将不符合国家规定标准的血液用于患者的，由卫生行政部门责令改正；给患者健康造成损害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ascii="仿宋" w:hAnsi="仿宋" w:cs="仿宋" w:hint="eastAsia"/>
          <w:color w:val="000000"/>
          <w:sz w:val="32"/>
          <w:szCs w:val="32"/>
        </w:rPr>
        <w:t>此外，对条文顺序做相应调整。</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三、辽宁省促进中小企业发展条例</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1.</w:t>
      </w:r>
      <w:r>
        <w:rPr>
          <w:rFonts w:ascii="仿宋" w:hAnsi="仿宋" w:cs="仿宋" w:hint="eastAsia"/>
          <w:color w:val="000000"/>
          <w:sz w:val="32"/>
          <w:szCs w:val="32"/>
        </w:rPr>
        <w:t>将三十八条第二款修改为：“任何单位不得以各种方式强制中小企业赞助捐赠、订购报刊、加入社团、接受指定服务；行业组织不得依靠代行政府职能或者利用行政资源擅自设立收费项目、提高收费标准。除法律、法规另有规定外，任何单位和个人不得强制或者变相强制中小企业参加评比、达标、表彰、培训、考核、考试以及类似活动，不得借前述活动向中小企业收费或者变相收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四、辽宁省实施《中华人民共和国农民专业合作社法》办法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1.</w:t>
      </w:r>
      <w:r>
        <w:rPr>
          <w:rFonts w:ascii="仿宋" w:hAnsi="仿宋" w:cs="仿宋" w:hint="eastAsia"/>
          <w:color w:val="000000"/>
          <w:sz w:val="32"/>
          <w:szCs w:val="32"/>
        </w:rPr>
        <w:t>将第二条修改为：“本法所称农民专业合作社，是指在农村家庭承包经营基础上，农产品的生产经营者或者农业生产经营服务的提供者、利用者，自愿联合、民主管理的互助性经济组织。</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w:t>
      </w:r>
      <w:r>
        <w:rPr>
          <w:rFonts w:ascii="仿宋" w:hAnsi="仿宋" w:cs="仿宋" w:hint="eastAsia"/>
          <w:color w:val="000000"/>
          <w:sz w:val="32"/>
          <w:szCs w:val="32"/>
        </w:rPr>
        <w:t>农民专业合作社以其成员为主要服务对象，按照国家规定的有关范围开展业务。”</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2.</w:t>
      </w:r>
      <w:r>
        <w:rPr>
          <w:rFonts w:ascii="仿宋" w:hAnsi="仿宋" w:cs="仿宋" w:hint="eastAsia"/>
          <w:color w:val="000000"/>
          <w:sz w:val="32"/>
          <w:szCs w:val="32"/>
        </w:rPr>
        <w:t>将第四条、第五条、第十八条、第二十三条、第二十四条、第二十五条、第二十八条中的“农业行政主管部门”修改为“农业农村部门”。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3.</w:t>
      </w:r>
      <w:r>
        <w:rPr>
          <w:rFonts w:ascii="仿宋" w:hAnsi="仿宋" w:cs="仿宋" w:hint="eastAsia"/>
          <w:color w:val="000000"/>
          <w:sz w:val="32"/>
          <w:szCs w:val="32"/>
        </w:rPr>
        <w:t>将第六条增加一款，作为第一款：“具有民事行为能力的公民，以及从事与农民专业合作社业务直接有关的生产经营活动的企业、事业单位或者社会组织，能够利用农民专业合作社提供的服务，承认并遵守农民专业合作社章程，履行章程规定的入社手续的，可以成为农民专业合作社的成员。但是，具有管理公共事务职能的单位不得加入农民专业合作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4.</w:t>
      </w:r>
      <w:r>
        <w:rPr>
          <w:rFonts w:ascii="仿宋" w:hAnsi="仿宋" w:cs="仿宋" w:hint="eastAsia"/>
          <w:color w:val="000000"/>
          <w:sz w:val="32"/>
          <w:szCs w:val="32"/>
        </w:rPr>
        <w:t>将第二十八条中的“工商行政管理部门”修改为“市场监督管理部门”。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五、辽宁省货物运输车辆超限超载治理条例</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1.</w:t>
      </w:r>
      <w:r>
        <w:rPr>
          <w:rFonts w:ascii="仿宋" w:hAnsi="仿宋" w:cs="仿宋" w:hint="eastAsia"/>
          <w:color w:val="000000"/>
          <w:sz w:val="32"/>
          <w:szCs w:val="32"/>
        </w:rPr>
        <w:t>将第四条第一款、第十五条、第十六条、第十九条第二款、第二十四条、第二十七条中的“交通行政管理部门”修改为“交通运输主管部门”。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2.</w:t>
      </w:r>
      <w:r>
        <w:rPr>
          <w:rFonts w:ascii="仿宋" w:hAnsi="仿宋" w:cs="仿宋" w:hint="eastAsia"/>
          <w:color w:val="000000"/>
          <w:sz w:val="32"/>
          <w:szCs w:val="32"/>
        </w:rPr>
        <w:t>将第四条第二款中的“工业信息化、质量技术监督、工商、财政、价格、监察”修改为“工业和信息化、市场监督管理、财政、发展改革”。</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3.</w:t>
      </w:r>
      <w:r>
        <w:rPr>
          <w:rFonts w:ascii="仿宋" w:hAnsi="仿宋" w:cs="仿宋" w:hint="eastAsia"/>
          <w:color w:val="000000"/>
          <w:sz w:val="32"/>
          <w:szCs w:val="32"/>
        </w:rPr>
        <w:t>将第六条第二款、第七条、第三十五条中的“交通行政管理”修改为“交通运输”。</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4.</w:t>
      </w:r>
      <w:r>
        <w:rPr>
          <w:rFonts w:ascii="仿宋" w:hAnsi="仿宋" w:cs="仿宋" w:hint="eastAsia"/>
          <w:color w:val="000000"/>
          <w:sz w:val="32"/>
          <w:szCs w:val="32"/>
        </w:rPr>
        <w:t>将十二条第一款中的“交通”修改为“交通运输”、“工商行政管理”修改为“市场监督管理等”。</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5.</w:t>
      </w:r>
      <w:r>
        <w:rPr>
          <w:rFonts w:ascii="仿宋" w:hAnsi="仿宋" w:cs="仿宋" w:hint="eastAsia"/>
          <w:color w:val="000000"/>
          <w:sz w:val="32"/>
          <w:szCs w:val="32"/>
        </w:rPr>
        <w:t>将第二十九条中的“质量技术监督部门和工商行政管理部门”修改为“市场监督管理部门”。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六、辽宁省公路条例</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1.</w:t>
      </w:r>
      <w:r>
        <w:rPr>
          <w:rFonts w:ascii="仿宋" w:hAnsi="仿宋" w:cs="仿宋" w:hint="eastAsia"/>
          <w:color w:val="000000"/>
          <w:sz w:val="32"/>
          <w:szCs w:val="32"/>
        </w:rPr>
        <w:t>将第三条、第四条第二款、第八条、第十三条、第十四条、第十八条、第十九条、第二十二条、第二十八条第一款、第三十五条、第三十六条第一款、第三十八条、第四十五条、第四十六条第二款、第四十八条、第四十九条中的“交通行政主管部门”修改为“交通运输主管部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2.</w:t>
      </w:r>
      <w:r>
        <w:rPr>
          <w:rFonts w:ascii="仿宋" w:hAnsi="仿宋" w:cs="仿宋" w:hint="eastAsia"/>
          <w:color w:val="000000"/>
          <w:sz w:val="32"/>
          <w:szCs w:val="32"/>
        </w:rPr>
        <w:t>将第八条中的“规划行政主管部门”修改为“自然资源主管部门”。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3.</w:t>
      </w:r>
      <w:r>
        <w:rPr>
          <w:rFonts w:ascii="仿宋" w:hAnsi="仿宋" w:cs="仿宋" w:hint="eastAsia"/>
          <w:color w:val="000000"/>
          <w:sz w:val="32"/>
          <w:szCs w:val="32"/>
        </w:rPr>
        <w:t>将第十一条第一款中的“国土资源”修改为“自然资源”。</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4.</w:t>
      </w:r>
      <w:r>
        <w:rPr>
          <w:rFonts w:ascii="仿宋" w:hAnsi="仿宋" w:cs="仿宋" w:hint="eastAsia"/>
          <w:color w:val="000000"/>
          <w:sz w:val="32"/>
          <w:szCs w:val="32"/>
        </w:rPr>
        <w:t>将第十六条修改为：“公路建设必须符合公路工程技术标准。县以上交通运输主管部门应当切实履行公路工程质量管理职责。对经交工验收合格批准试运营的公路或竣工验收合格批准运营的公路发生工程质量事故的，省交通运输主管部门应当及时调查处理。”</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5.</w:t>
      </w:r>
      <w:r>
        <w:rPr>
          <w:rFonts w:ascii="仿宋" w:hAnsi="仿宋" w:cs="仿宋" w:hint="eastAsia"/>
          <w:color w:val="000000"/>
          <w:sz w:val="32"/>
          <w:szCs w:val="32"/>
        </w:rPr>
        <w:t>将第二十条中的“建设行政主管部门”修改为“住房城乡建设部门”。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6.</w:t>
      </w:r>
      <w:r>
        <w:rPr>
          <w:rFonts w:ascii="仿宋" w:hAnsi="仿宋" w:cs="仿宋" w:hint="eastAsia"/>
          <w:color w:val="000000"/>
          <w:sz w:val="32"/>
          <w:szCs w:val="32"/>
        </w:rPr>
        <w:t>将第二十五条修改为：“铁轮车、履带车和其他可能损害公路路面的机具，不得在公路上行驶。</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w:t>
      </w:r>
      <w:r>
        <w:rPr>
          <w:rFonts w:ascii="仿宋" w:hAnsi="仿宋" w:cs="仿宋" w:hint="eastAsia"/>
          <w:color w:val="000000"/>
          <w:sz w:val="32"/>
          <w:szCs w:val="32"/>
        </w:rPr>
        <w:t>农业机械因当地田间作业需要在公路上短距离行驶，可以不受前款限制，但是应当采取安全保护措施。对公路造成损坏的，应当依法按照损坏程度予以补偿。”</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cs="仿宋" w:hint="eastAsia" w:ascii="仿宋" w:hAnsi="仿宋"/>
          <w:color w:val="000000"/>
          <w:sz w:val="32"/>
          <w:szCs w:val="32"/>
        </w:rPr>
        <w:t>7.</w:t>
      </w:r>
      <w:r>
        <w:rPr>
          <w:rFonts w:ascii="仿宋" w:hAnsi="仿宋" w:cs="仿宋" w:hint="eastAsia"/>
          <w:color w:val="000000"/>
          <w:sz w:val="32"/>
          <w:szCs w:val="32"/>
        </w:rPr>
        <w:t>将第四十五条中的“物价”修改为“发展改革”。</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ascii="仿宋" w:hAnsi="仿宋" w:cs="仿宋" w:hint="eastAsia"/>
          <w:color w:val="000000"/>
          <w:sz w:val="32"/>
          <w:szCs w:val="32"/>
        </w:rPr>
        <w:t>此外，对相关法规个别文字作了修改。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cs="仿宋" w:hint="eastAsia"/>
          <w:color w:val="000000"/>
          <w:sz w:val="32"/>
          <w:szCs w:val="32"/>
        </w:rPr>
      </w:pPr>
      <w:r>
        <w:rPr>
          <w:rFonts w:ascii="仿宋" w:hAnsi="仿宋" w:cs="仿宋" w:hint="eastAsia"/>
          <w:color w:val="000000"/>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start"/>
        <w:textAlignment w:val="auto"/>
        <w:rPr>
          <w:rFonts w:ascii="仿宋" w:hAnsi="仿宋" w:cs="仿宋" w:hint="eastAsia"/>
          <w:color w:val="000000"/>
          <w:sz w:val="32"/>
          <w:szCs w:val="32"/>
        </w:rPr>
      </w:pPr>
      <w:r>
        <w:rPr>
          <w:rFonts w:ascii="仿宋" w:hAnsi="仿宋" w:cs="仿宋" w:hint="eastAsia"/>
          <w:color w:val="000000"/>
          <w:sz w:val="32"/>
          <w:szCs w:val="32"/>
        </w:rPr>
        <w:t>《决定》涉及的法规，根据本决定作相应修改并重新公布。</w:t>
      </w:r>
    </w:p>
    <w:p>
      <w:pPr>
        <w:pStyle w:val="Normal"/>
        <w:keepNext w:val="false"/>
        <w:keepLines w:val="false"/>
        <w:pageBreakBefore w:val="false"/>
        <w:widowControl w:val="false"/>
        <w:kinsoku w:val="true"/>
        <w:overflowPunct w:val="true"/>
        <w:autoSpaceDE w:val="true"/>
        <w:bidi w:val="0"/>
        <w:spacing w:lineRule="exact" w:line="578"/>
        <w:ind w:firstLineChars="196"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End w:id="0"/>
    </w:p>
    <w:sectPr>
      <w:footerReference w:type="default" r:id="rId2"/>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Verdana">
    <w:charset w:val="00" w:characterSet="windows-1252"/>
    <w:family w:val="auto"/>
    <w:pitch w:val="default"/>
  </w:font>
  <w:font w:name="Liberation Sans">
    <w:altName w:val="Arial"/>
    <w:charset w:val="01" w:characterSet="utf-8"/>
    <w:family w:val="swiss"/>
    <w:pitch w:val="variable"/>
  </w:font>
  <w:font w:name="Calibri">
    <w:charset w:val="00" w:characterSet="windows-1252"/>
    <w:family w:val="auto"/>
    <w:pitch w:val="default"/>
  </w:font>
  <w:font w:name="黑体">
    <w:charset w:val="86"/>
    <w:family w:val="auto"/>
    <w:pitch w:val="default"/>
  </w:font>
  <w:font w:name="楷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-276225</wp:posOffset>
              </wp:positionV>
              <wp:extent cx="624205" cy="241300"/>
              <wp:effectExtent l="0" t="0" r="0" b="0"/>
              <wp:wrapNone/>
              <wp:docPr id="1" name="Frame1"/>
              <a:graphic xmlns:a="http://schemas.openxmlformats.org/drawingml/2006/main">
                <a:graphicData uri="http://schemas.microsoft.com/office/word/2010/wordprocessingShape">
                  <wps:wsp>
                    <wps:cNvSpPr txBox="1"/>
                    <wps:spPr>
                      <a:xfrm>
                        <a:off x="0" y="0"/>
                        <a:ext cx="624205" cy="241300"/>
                      </a:xfrm>
                      <a:prstGeom prst="rect"/>
                      <a:solidFill>
                        <a:srgbClr val="FFFFFF">
                          <a:alpha val="0"/>
                        </a:srgbClr>
                      </a:solidFill>
                    </wps:spPr>
                    <wps:txbx>
                      <w:txbxContent>
                        <w:p>
                          <w:pPr>
                            <w:pStyle w:val="Footer"/>
                            <w:rPr/>
                          </w:pPr>
                          <w:r>
                            <w:rPr>
                              <w:rFonts w:eastAsia="仿宋" w:cs="仿宋" w:hint="eastAsia" w:ascii="仿宋" w:hAnsi="仿宋"/>
                              <w:sz w:val="28"/>
                              <w:szCs w:val="28"/>
                            </w:rPr>
                            <w:t xml:space="preserve">— </w:t>
                          </w:r>
                          <w:r>
                            <w:rPr>
                              <w:rFonts w:eastAsia="仿宋" w:cs="Times New Roman"/>
                              <w:sz w:val="28"/>
                              <w:szCs w:val="28"/>
                            </w:rPr>
                            <w:fldChar w:fldCharType="begin"/>
                          </w:r>
                          <w:r>
                            <w:rPr>
                              <w:rFonts w:eastAsia="仿宋" w:cs="Times New Roman"/>
                              <w:sz w:val="28"/>
                              <w:szCs w:val="28"/>
                            </w:rPr>
                            <w:instrText xml:space="preserve"> PAGE </w:instrText>
                          </w:r>
                          <w:r>
                            <w:rPr>
                              <w:rFonts w:eastAsia="仿宋" w:cs="Times New Roman"/>
                              <w:sz w:val="28"/>
                              <w:szCs w:val="28"/>
                            </w:rPr>
                            <w:fldChar w:fldCharType="separate"/>
                          </w:r>
                          <w:r>
                            <w:rPr>
                              <w:rFonts w:eastAsia="仿宋" w:cs="Times New Roman"/>
                              <w:sz w:val="28"/>
                              <w:szCs w:val="28"/>
                            </w:rPr>
                            <w:t>5</w:t>
                          </w:r>
                          <w:r>
                            <w:rPr>
                              <w:rFonts w:eastAsia="仿宋" w:cs="Times New Roman"/>
                              <w:sz w:val="28"/>
                              <w:szCs w:val="28"/>
                            </w:rPr>
                            <w:fldChar w:fldCharType="end"/>
                          </w:r>
                          <w:r>
                            <w:rPr>
                              <w:rFonts w:eastAsia="仿宋" w:cs="Times New Roman"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9pt;mso-wrap-distance-left:9.05pt;mso-wrap-distance-right:0pt;mso-wrap-distance-top:0pt;mso-wrap-distance-bottom:0pt;margin-top:-21.75pt;mso-position-vertical-relative:text;margin-left:393.1pt;mso-position-horizontal:outside;mso-position-horizontal-relative:margin">
              <v:fill opacity="0f"/>
              <v:textbox inset="0.000694444444444445in,0.000694444444444445in,0.000694444444444445in,0.000694444444444445in">
                <w:txbxContent>
                  <w:p>
                    <w:pPr>
                      <w:pStyle w:val="Footer"/>
                      <w:rPr/>
                    </w:pPr>
                    <w:r>
                      <w:rPr>
                        <w:rFonts w:eastAsia="仿宋" w:cs="仿宋" w:hint="eastAsia" w:ascii="仿宋" w:hAnsi="仿宋"/>
                        <w:sz w:val="28"/>
                        <w:szCs w:val="28"/>
                      </w:rPr>
                      <w:t xml:space="preserve">— </w:t>
                    </w:r>
                    <w:r>
                      <w:rPr>
                        <w:rFonts w:eastAsia="仿宋" w:cs="Times New Roman"/>
                        <w:sz w:val="28"/>
                        <w:szCs w:val="28"/>
                      </w:rPr>
                      <w:fldChar w:fldCharType="begin"/>
                    </w:r>
                    <w:r>
                      <w:rPr>
                        <w:rFonts w:eastAsia="仿宋" w:cs="Times New Roman"/>
                        <w:sz w:val="28"/>
                        <w:szCs w:val="28"/>
                      </w:rPr>
                      <w:instrText xml:space="preserve"> PAGE </w:instrText>
                    </w:r>
                    <w:r>
                      <w:rPr>
                        <w:rFonts w:eastAsia="仿宋" w:cs="Times New Roman"/>
                        <w:sz w:val="28"/>
                        <w:szCs w:val="28"/>
                      </w:rPr>
                      <w:fldChar w:fldCharType="separate"/>
                    </w:r>
                    <w:r>
                      <w:rPr>
                        <w:rFonts w:eastAsia="仿宋" w:cs="Times New Roman"/>
                        <w:sz w:val="28"/>
                        <w:szCs w:val="28"/>
                      </w:rPr>
                      <w:t>5</w:t>
                    </w:r>
                    <w:r>
                      <w:rPr>
                        <w:rFonts w:eastAsia="仿宋" w:cs="Times New Roman"/>
                        <w:sz w:val="28"/>
                        <w:szCs w:val="28"/>
                      </w:rPr>
                      <w:fldChar w:fldCharType="end"/>
                    </w:r>
                    <w:r>
                      <w:rPr>
                        <w:rFonts w:eastAsia="仿宋" w:cs="Times New Roman" w:hint="eastAsia"/>
                        <w:sz w:val="28"/>
                        <w:szCs w:val="28"/>
                      </w:rPr>
                      <w:t xml:space="preserve"> —</w:t>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kern w:val="0"/>
      <w:sz w:val="18"/>
      <w:szCs w:val="18"/>
    </w:rPr>
  </w:style>
  <w:style w:type="character" w:styleId="Style13">
    <w:name w:val="默认段落字体"/>
    <w:qFormat/>
    <w:rPr>
      <w:rFonts w:ascii="Verdana" w:hAnsi="Verdana" w:eastAsia="PMingLiU" w:cs="Verdana"/>
      <w:kern w:val="0"/>
      <w:sz w:val="20"/>
      <w:lang w:val="en-US" w:eastAsia="en-US"/>
    </w:rPr>
  </w:style>
  <w:style w:type="character" w:styleId="3Char">
    <w:name w:val="正文文本缩进 3 Char"/>
    <w:basedOn w:val="Style13"/>
    <w:qFormat/>
    <w:rPr>
      <w:rFonts w:ascii="Times New Roman" w:hAnsi="Times New Roman" w:eastAsia="仿宋_GB2312" w:cs="Times New Roman"/>
      <w:sz w:val="32"/>
      <w:szCs w:val="24"/>
    </w:rPr>
  </w:style>
  <w:style w:type="character" w:styleId="Char">
    <w:name w:val="页眉 Char"/>
    <w:basedOn w:val="Style13"/>
    <w:qFormat/>
    <w:rPr>
      <w:sz w:val="18"/>
      <w:szCs w:val="18"/>
    </w:rPr>
  </w:style>
  <w:style w:type="character" w:styleId="Char1">
    <w:name w:val="页脚 Char"/>
    <w:basedOn w:val="Style13"/>
    <w:qFormat/>
    <w:rPr>
      <w:sz w:val="18"/>
      <w:szCs w:val="18"/>
    </w:rPr>
  </w:style>
  <w:style w:type="character" w:styleId="Char2">
    <w:name w:val="批注框文本 Char"/>
    <w:basedOn w:val="Style13"/>
    <w:qFormat/>
    <w:rPr>
      <w:rFonts w:ascii="Times New Roman" w:hAnsi="Times New Roman" w:eastAsia="仿宋_GB2312" w:cs="Times New Roman"/>
      <w:sz w:val="18"/>
      <w:szCs w:val="18"/>
    </w:rPr>
  </w:style>
  <w:style w:type="character" w:styleId="PageNumber">
    <w:name w:val="page number"/>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批注框文本"/>
    <w:basedOn w:val="Normal"/>
    <w:qFormat/>
    <w:pPr/>
    <w:rPr>
      <w:rFonts w:ascii="Times New Roman" w:hAnsi="Times New Roman" w:eastAsia="仿宋_GB2312" w:cs="Times New Roman"/>
      <w:sz w:val="18"/>
      <w:szCs w:val="18"/>
    </w:rPr>
  </w:style>
  <w:style w:type="paragraph" w:styleId="NewNew">
    <w:name w:val="正文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
    <w:name w:val="Normal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_GB2312" w:cs="黑体" w:hint="eastAsia"/>
      <w:color w:val="auto"/>
      <w:kern w:val="2"/>
      <w:sz w:val="32"/>
      <w:szCs w:val="20"/>
      <w:lang w:val="en-US" w:eastAsia="zh-CN" w:bidi="hi-IN"/>
    </w:rPr>
  </w:style>
  <w:style w:type="paragraph" w:styleId="NewNewNew">
    <w:name w:val="正文 New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ew">
    <w:name w:val="正文 New"/>
    <w:qFormat/>
    <w:pPr>
      <w:widowControl w:val="false"/>
      <w:bidi w:val="0"/>
      <w:jc w:val="both"/>
    </w:pPr>
    <w:rPr>
      <w:rFonts w:ascii="Calibri" w:hAnsi="Calibri" w:eastAsia="宋体" w:cs="黑体"/>
      <w:color w:val="auto"/>
      <w:kern w:val="2"/>
      <w:sz w:val="32"/>
      <w:szCs w:val="22"/>
      <w:lang w:val="en-US" w:eastAsia="zh-CN" w:bidi="hi-IN"/>
    </w:rPr>
  </w:style>
  <w:style w:type="paragraph" w:styleId="NormalNewNewNewNewNewNewNewNewNewNewNewNewNew">
    <w:name w:val="Normal New New New New New New New New New New New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BodyTextIndent3">
    <w:name w:val="Body Text Indent 3"/>
    <w:basedOn w:val="Normal"/>
    <w:qFormat/>
    <w:pPr>
      <w:ind w:firstLine="651" w:start="0" w:end="0"/>
    </w:pPr>
    <w:rPr>
      <w:rFonts w:ascii="Times New Roman" w:hAnsi="Times New Roman" w:eastAsia="仿宋_GB2312" w:cs="Times New Roman"/>
      <w:sz w:val="32"/>
      <w:szCs w:val="24"/>
    </w:rPr>
  </w:style>
  <w:style w:type="paragraph" w:styleId="BodyTextIndent">
    <w:name w:val="Body Text Indent"/>
    <w:basedOn w:val="Normal"/>
    <w:qFormat/>
    <w:pPr>
      <w:ind w:firstLineChars="200" w:startChars="0" w:start="0" w:endChars="0" w:end="0"/>
    </w:pPr>
    <w:rPr>
      <w:rFonts w:ascii="宋体" w:hAnsi="宋体" w:eastAsia="宋体" w:cs="Times New Roman"/>
      <w:b/>
      <w:sz w:val="44"/>
      <w:szCs w:val="44"/>
    </w:rPr>
  </w:style>
  <w:style w:type="paragraph" w:styleId="NormalNewNewNewNewNewNewNewNewNew">
    <w:name w:val="Normal New New New New New New New New New"/>
    <w:qFormat/>
    <w:pPr>
      <w:widowControl w:val="false"/>
      <w:bidi w:val="0"/>
      <w:jc w:val="both"/>
    </w:pPr>
    <w:rPr>
      <w:rFonts w:ascii="Times New Roman" w:hAnsi="Times New Roman" w:eastAsia="仿宋_GB2312" w:cs="黑体" w:hint="eastAsia"/>
      <w:color w:val="auto"/>
      <w:kern w:val="2"/>
      <w:sz w:val="32"/>
      <w:szCs w:val="20"/>
      <w:lang w:val="en-US" w:eastAsia="zh-CN" w:bidi="hi-IN"/>
    </w:rPr>
  </w:style>
  <w:style w:type="paragraph" w:styleId="Style15">
    <w:name w:val="字元 字元"/>
    <w:basedOn w:val="Normal"/>
    <w:qFormat/>
    <w:pPr>
      <w:widowControl/>
      <w:spacing w:lineRule="exact" w:line="240" w:before="0" w:after="160"/>
    </w:pPr>
    <w:rPr>
      <w:rFonts w:ascii="Verdana" w:hAnsi="Verdana" w:eastAsia="PMingLiU" w:cs="Verdana"/>
      <w:kern w:val="0"/>
      <w:sz w:val="20"/>
      <w:lang w:val="en-US" w:eastAsia="en-US"/>
    </w:rPr>
  </w:style>
  <w:style w:type="paragraph" w:styleId="NormalWeb">
    <w:name w:val="Normal (Web)"/>
    <w:basedOn w:val="Normal"/>
    <w:qFormat/>
    <w:pPr>
      <w:spacing w:before="280" w:after="280"/>
      <w:ind w:hanging="0" w:start="0" w:end="0"/>
      <w:jc w:val="start"/>
    </w:pPr>
    <w:rPr>
      <w:rFonts w:ascii="宋体" w:hAnsi="宋体" w:eastAsia="宋体" w:cs="宋体" w:hint="eastAsia"/>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2018-11-26T15:44:00Z</dcterms:created>
  <dc:creator>coco</dc:creator>
  <dc:description/>
  <dc:language>en-US</dc:language>
  <cp:lastModifiedBy/>
  <dcterms:modified xsi:type="dcterms:W3CDTF">2021-08-06T13:44:44Z</dcterms:modified>
  <cp:revision>0</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