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bCs/>
          <w:sz w:val="32"/>
          <w:szCs w:val="44"/>
        </w:rPr>
      </w:pPr>
      <w:r>
        <w:rPr>
          <w:rFonts w:cs="宋体" w:hint="eastAsia" w:ascii="宋体" w:hAnsi="宋体"/>
          <w:b/>
          <w:bCs/>
          <w:sz w:val="32"/>
          <w:szCs w:val="44"/>
        </w:rPr>
      </w:r>
    </w:p>
    <w:p>
      <w:pPr>
        <w:pStyle w:val="Normal"/>
        <w:jc w:val="center"/>
        <w:rPr>
          <w:rFonts w:ascii="宋体" w:hAnsi="宋体" w:cs="宋体" w:hint="eastAsia"/>
          <w:b/>
          <w:bCs/>
          <w:sz w:val="32"/>
          <w:szCs w:val="44"/>
        </w:rPr>
      </w:pPr>
      <w:r>
        <w:rPr>
          <w:rFonts w:cs="宋体" w:hint="eastAsia" w:ascii="宋体" w:hAnsi="宋体"/>
          <w:b/>
          <w:bCs/>
          <w:sz w:val="32"/>
          <w:szCs w:val="44"/>
        </w:rPr>
      </w:r>
    </w:p>
    <w:p>
      <w:pPr>
        <w:pStyle w:val="Normal"/>
        <w:jc w:val="center"/>
        <w:rPr>
          <w:rFonts w:ascii="宋体" w:hAnsi="宋体" w:cs="宋体" w:hint="eastAsia"/>
          <w:b/>
          <w:bCs/>
          <w:sz w:val="44"/>
          <w:szCs w:val="44"/>
        </w:rPr>
      </w:pPr>
      <w:r>
        <w:rPr>
          <w:rFonts w:ascii="宋体" w:hAnsi="宋体" w:cs="宋体" w:hint="eastAsia"/>
          <w:b/>
          <w:bCs/>
          <w:sz w:val="44"/>
          <w:szCs w:val="44"/>
        </w:rPr>
        <w:t>沈阳市文明行为促进条例</w:t>
      </w:r>
    </w:p>
    <w:p>
      <w:pPr>
        <w:pStyle w:val="Normal"/>
        <w:rPr>
          <w:rFonts w:ascii="宋体" w:hAnsi="宋体" w:eastAsia="宋体" w:cs="楷体_GB2312" w:hint="eastAsia"/>
          <w:b/>
          <w:bCs/>
          <w:sz w:val="32"/>
          <w:szCs w:val="32"/>
        </w:rPr>
      </w:pPr>
      <w:r>
        <w:rPr>
          <w:rFonts w:eastAsia="宋体" w:cs="楷体_GB2312" w:hint="eastAsia" w:ascii="宋体" w:hAnsi="宋体"/>
          <w:b/>
          <w:bCs/>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200" w:endChars="200"/>
        <w:jc w:val="start"/>
        <w:textAlignment w:val="auto"/>
        <w:rPr>
          <w:rFonts w:ascii="楷体_GB2312" w:hAnsi="楷体_GB2312" w:eastAsia="楷体_GB2312" w:cs="黑体" w:hint="eastAsia"/>
          <w:bCs/>
          <w:kern w:val="0"/>
          <w:sz w:val="32"/>
          <w:szCs w:val="32"/>
        </w:rPr>
      </w:pPr>
      <w:r>
        <w:rPr>
          <w:rFonts w:ascii="楷体_GB2312" w:hAnsi="楷体_GB2312" w:cs="黑体" w:hint="eastAsia" w:eastAsia="楷体_GB2312"/>
          <w:bCs/>
          <w:kern w:val="0"/>
          <w:sz w:val="32"/>
          <w:szCs w:val="32"/>
        </w:rPr>
        <w:t>（</w:t>
      </w:r>
      <w:r>
        <w:rPr>
          <w:rFonts w:eastAsia="楷体_GB2312" w:cs="黑体" w:hint="eastAsia" w:ascii="楷体_GB2312" w:hAnsi="楷体_GB2312"/>
          <w:bCs/>
          <w:kern w:val="0"/>
          <w:sz w:val="32"/>
          <w:szCs w:val="32"/>
        </w:rPr>
        <w:t>2019</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12</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3</w:t>
      </w:r>
      <w:r>
        <w:rPr>
          <w:rFonts w:ascii="楷体_GB2312" w:hAnsi="楷体_GB2312" w:cs="黑体" w:hint="eastAsia" w:eastAsia="楷体_GB2312"/>
          <w:bCs/>
          <w:kern w:val="0"/>
          <w:sz w:val="32"/>
          <w:szCs w:val="32"/>
        </w:rPr>
        <w:t xml:space="preserve">日沈阳市第十六届人民代表大会常务委员会第十五次会议通过  </w:t>
      </w:r>
      <w:r>
        <w:rPr>
          <w:rFonts w:eastAsia="楷体_GB2312" w:cs="黑体" w:hint="eastAsia" w:ascii="楷体_GB2312" w:hAnsi="楷体_GB2312"/>
          <w:bCs/>
          <w:kern w:val="0"/>
          <w:sz w:val="32"/>
          <w:szCs w:val="32"/>
        </w:rPr>
        <w:t>2020</w:t>
      </w:r>
      <w:r>
        <w:rPr>
          <w:rFonts w:ascii="楷体_GB2312" w:hAnsi="楷体_GB2312" w:cs="黑体" w:hint="eastAsia" w:eastAsia="楷体_GB2312"/>
          <w:bCs/>
          <w:kern w:val="0"/>
          <w:sz w:val="32"/>
          <w:szCs w:val="32"/>
        </w:rPr>
        <w:t>年</w:t>
      </w:r>
      <w:r>
        <w:rPr>
          <w:rFonts w:eastAsia="楷体_GB2312" w:cs="黑体" w:hint="eastAsia" w:ascii="楷体_GB2312" w:hAnsi="楷体_GB2312"/>
          <w:bCs/>
          <w:kern w:val="0"/>
          <w:sz w:val="32"/>
          <w:szCs w:val="32"/>
        </w:rPr>
        <w:t>3</w:t>
      </w:r>
      <w:r>
        <w:rPr>
          <w:rFonts w:ascii="楷体_GB2312" w:hAnsi="楷体_GB2312" w:cs="黑体" w:hint="eastAsia" w:eastAsia="楷体_GB2312"/>
          <w:bCs/>
          <w:kern w:val="0"/>
          <w:sz w:val="32"/>
          <w:szCs w:val="32"/>
        </w:rPr>
        <w:t>月</w:t>
      </w:r>
      <w:r>
        <w:rPr>
          <w:rFonts w:eastAsia="楷体_GB2312" w:cs="黑体" w:hint="eastAsia" w:ascii="楷体_GB2312" w:hAnsi="楷体_GB2312"/>
          <w:bCs/>
          <w:kern w:val="0"/>
          <w:sz w:val="32"/>
          <w:szCs w:val="32"/>
        </w:rPr>
        <w:t>30</w:t>
      </w:r>
      <w:r>
        <w:rPr>
          <w:rFonts w:ascii="楷体_GB2312" w:hAnsi="楷体_GB2312" w:cs="黑体" w:hint="eastAsia" w:eastAsia="楷体_GB2312"/>
          <w:bCs/>
          <w:kern w:val="0"/>
          <w:sz w:val="32"/>
          <w:szCs w:val="32"/>
        </w:rPr>
        <w:t>日辽宁省第十三届人民代表大会常务委员会第十七次会议批准）</w:t>
      </w:r>
    </w:p>
    <w:p>
      <w:pPr>
        <w:pStyle w:val="Normal"/>
        <w:rPr>
          <w:rFonts w:ascii="宋体" w:hAnsi="宋体" w:eastAsia="宋体" w:cs="楷体_GB2312" w:hint="eastAsia"/>
          <w:bCs/>
          <w:kern w:val="0"/>
          <w:sz w:val="32"/>
          <w:szCs w:val="32"/>
        </w:rPr>
      </w:pPr>
      <w:r>
        <w:rPr>
          <w:rFonts w:eastAsia="宋体" w:cs="楷体_GB2312" w:hint="eastAsia" w:ascii="宋体" w:hAnsi="宋体"/>
          <w:bCs/>
          <w:kern w:val="0"/>
          <w:sz w:val="32"/>
          <w:szCs w:val="32"/>
        </w:rPr>
      </w:r>
    </w:p>
    <w:p>
      <w:pPr>
        <w:pStyle w:val="Normal"/>
        <w:jc w:val="center"/>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目    录</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第一章 总则</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第二章 文明行为基本规范</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第三章 文明行为倡导和鼓励</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第四章 不文明行为治理</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第五章 保障与监督</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第六章 法律责任</w:t>
      </w:r>
    </w:p>
    <w:p>
      <w:pPr>
        <w:pStyle w:val="Normal"/>
        <w:ind w:firstLineChars="200" w:startChars="0" w:start="0" w:endChars="0" w:end="0"/>
        <w:rPr>
          <w:rFonts w:ascii="楷体_GB2312" w:hAnsi="楷体_GB2312" w:eastAsia="楷体_GB2312" w:cs="宋体" w:hint="eastAsia"/>
          <w:bCs/>
          <w:kern w:val="0"/>
          <w:sz w:val="32"/>
          <w:szCs w:val="32"/>
        </w:rPr>
      </w:pPr>
      <w:r>
        <w:rPr>
          <w:rFonts w:ascii="楷体_GB2312" w:hAnsi="楷体_GB2312" w:cs="宋体" w:hint="eastAsia" w:eastAsia="楷体_GB2312"/>
          <w:bCs/>
          <w:kern w:val="0"/>
          <w:sz w:val="32"/>
          <w:szCs w:val="32"/>
        </w:rPr>
        <w:t>第七章 附则</w:t>
      </w:r>
    </w:p>
    <w:p>
      <w:pPr>
        <w:pStyle w:val="Normal"/>
        <w:jc w:val="center"/>
        <w:rPr>
          <w:rFonts w:ascii="楷体_GB2312" w:hAnsi="楷体_GB2312" w:eastAsia="楷体_GB2312" w:cs="楷体_GB2312" w:hint="eastAsia"/>
          <w:bCs/>
          <w:kern w:val="0"/>
          <w:sz w:val="32"/>
          <w:szCs w:val="32"/>
        </w:rPr>
      </w:pPr>
      <w:r>
        <w:rPr>
          <w:rFonts w:eastAsia="楷体_GB2312" w:cs="楷体_GB2312" w:hint="eastAsia" w:ascii="楷体_GB2312" w:hAnsi="楷体_GB2312"/>
          <w:bCs/>
          <w:kern w:val="0"/>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第一章  总则</w:t>
      </w:r>
    </w:p>
    <w:p>
      <w:pPr>
        <w:pStyle w:val="Normal"/>
        <w:jc w:val="center"/>
        <w:rPr>
          <w:rFonts w:ascii="宋体" w:hAnsi="宋体" w:eastAsia="宋体" w:cs="黑体" w:hint="eastAsia"/>
          <w:bCs/>
          <w:sz w:val="32"/>
          <w:szCs w:val="32"/>
        </w:rPr>
      </w:pPr>
      <w:r>
        <w:rPr>
          <w:rFonts w:eastAsia="宋体" w:cs="黑体" w:hint="eastAsia" w:ascii="宋体" w:hAnsi="宋体"/>
          <w:bCs/>
          <w:sz w:val="32"/>
          <w:szCs w:val="32"/>
        </w:rPr>
      </w:r>
    </w:p>
    <w:p>
      <w:pPr>
        <w:pStyle w:val="Normal"/>
        <w:ind w:firstLineChars="200" w:startChars="0" w:start="0" w:endChars="0" w:end="0"/>
        <w:rPr>
          <w:rFonts w:ascii="仿宋" w:hAnsi="仿宋" w:eastAsia="仿宋" w:cs="仿宋" w:hint="eastAsia"/>
          <w:color w:val="000000"/>
          <w:sz w:val="32"/>
          <w:szCs w:val="32"/>
        </w:rPr>
      </w:pPr>
      <w:r>
        <w:rPr>
          <w:rFonts w:ascii="黑体" w:hAnsi="黑体" w:cs="黑体" w:hint="eastAsia" w:eastAsia="黑体"/>
          <w:bCs/>
          <w:color w:val="000000"/>
          <w:sz w:val="32"/>
          <w:szCs w:val="32"/>
        </w:rPr>
        <w:t>第一条</w:t>
      </w:r>
      <w:r>
        <w:rPr>
          <w:rFonts w:ascii="仿宋_GB2312" w:hAnsi="仿宋_GB2312" w:cs="仿宋" w:hint="eastAsia" w:eastAsia="仿宋_GB2312"/>
          <w:bCs/>
          <w:color w:val="000000"/>
          <w:sz w:val="32"/>
          <w:szCs w:val="32"/>
        </w:rPr>
        <w:t xml:space="preserve">  </w:t>
      </w:r>
      <w:r>
        <w:rPr>
          <w:rFonts w:ascii="仿宋" w:hAnsi="仿宋" w:cs="仿宋" w:hint="eastAsia" w:eastAsia="仿宋"/>
          <w:color w:val="000000"/>
          <w:sz w:val="32"/>
          <w:szCs w:val="32"/>
        </w:rPr>
        <w:t>为了引导和促进公民实施文明行为，提升公民文明素质和社会文明水平，根据有关法律、法规，结合本市实际，制定本条例。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第二条 </w:t>
      </w:r>
      <w:r>
        <w:rPr>
          <w:rFonts w:ascii="仿宋" w:hAnsi="仿宋" w:cs="仿宋" w:hint="eastAsia" w:eastAsia="仿宋"/>
          <w:sz w:val="32"/>
          <w:szCs w:val="32"/>
        </w:rPr>
        <w:t xml:space="preserve"> 本市行政区域内的文明行为促进活动，适用本条例。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第三条  </w:t>
      </w:r>
      <w:r>
        <w:rPr>
          <w:rFonts w:ascii="仿宋" w:hAnsi="仿宋" w:cs="仿宋" w:hint="eastAsia" w:eastAsia="仿宋"/>
          <w:sz w:val="32"/>
          <w:szCs w:val="32"/>
        </w:rPr>
        <w:t>市和区、县（市）精神文明建设指导委员会统筹推进本行政区域内的文明行为促进工作。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市和区、县（市）精神文明建设工作机构具体负责本行政区域内的文明行为促进工作。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第四条 </w:t>
      </w:r>
      <w:r>
        <w:rPr>
          <w:rFonts w:ascii="仿宋" w:hAnsi="仿宋" w:cs="仿宋" w:hint="eastAsia" w:eastAsia="仿宋"/>
          <w:sz w:val="32"/>
          <w:szCs w:val="32"/>
        </w:rPr>
        <w:t xml:space="preserve"> 市和区、县（市）人民政府应当将文明行为促进工作纳入国民经济和社会发展规划及年度计划，所需经费列入同级财政预算。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市和区、县（市）人民政府相关主管部门应当在各自职责范围内做好文明行为促进工作。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bCs/>
          <w:sz w:val="32"/>
          <w:szCs w:val="32"/>
        </w:rPr>
        <w:t xml:space="preserve">第五条 </w:t>
      </w:r>
      <w:r>
        <w:rPr>
          <w:rFonts w:ascii="仿宋" w:hAnsi="仿宋" w:cs="仿宋" w:hint="eastAsia" w:eastAsia="仿宋"/>
          <w:sz w:val="32"/>
          <w:szCs w:val="32"/>
        </w:rPr>
        <w:t xml:space="preserve"> 乡镇人民政府、街道办事处应当按照市和区、县（市）精神文明建设指导委员会的要求，推进本辖区文明行为促进工作的具体落实。</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居民委员会、村民委员会应当加强文明行为的宣传、教育和引导，协助做好文明行为促进相关工作。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第六条 </w:t>
      </w:r>
      <w:r>
        <w:rPr>
          <w:rFonts w:ascii="仿宋" w:hAnsi="仿宋" w:cs="仿宋" w:hint="eastAsia" w:eastAsia="仿宋"/>
          <w:bCs/>
          <w:sz w:val="32"/>
          <w:szCs w:val="32"/>
        </w:rPr>
        <w:t xml:space="preserve"> </w:t>
      </w:r>
      <w:r>
        <w:rPr>
          <w:rFonts w:ascii="仿宋" w:hAnsi="仿宋" w:cs="仿宋" w:hint="eastAsia" w:eastAsia="仿宋"/>
          <w:sz w:val="32"/>
          <w:szCs w:val="32"/>
        </w:rPr>
        <w:t>文明行为促进工作坚持党委统一领导、政府组织实施、部门各负其责、基层组织落实、社会协同推进、群众共同参与的原则。</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第七条  </w:t>
      </w:r>
      <w:r>
        <w:rPr>
          <w:rFonts w:ascii="仿宋" w:hAnsi="仿宋" w:cs="仿宋" w:hint="eastAsia" w:eastAsia="仿宋"/>
          <w:sz w:val="32"/>
          <w:szCs w:val="32"/>
        </w:rPr>
        <w:t>公民应当自觉践行社会主义核心价值观，遵守社会公德、职业道德、家庭美德，不断提升道德素质和文明素养。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第八条 </w:t>
      </w:r>
      <w:r>
        <w:rPr>
          <w:rFonts w:ascii="黑体" w:hAnsi="黑体" w:cs="黑体" w:hint="eastAsia" w:eastAsia="黑体"/>
          <w:sz w:val="32"/>
          <w:szCs w:val="32"/>
        </w:rPr>
        <w:t xml:space="preserve"> </w:t>
      </w:r>
      <w:r>
        <w:rPr>
          <w:rFonts w:ascii="仿宋" w:hAnsi="仿宋" w:cs="仿宋" w:hint="eastAsia" w:eastAsia="仿宋"/>
          <w:sz w:val="32"/>
          <w:szCs w:val="32"/>
        </w:rPr>
        <w:t>机关、企业事业单位、社会组织和公民应当结合自身实际，积极支持和参与文明行为促进工作。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国家机关工作人员、先进模范人物以及其他社会公众人物应当在文明行为促进工作中发挥表率作用。</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 xml:space="preserve">第二章 </w:t>
      </w:r>
      <w:r>
        <w:rPr>
          <w:rFonts w:ascii="黑体" w:hAnsi="黑体" w:cs="黑体" w:hint="eastAsia" w:eastAsia="黑体"/>
          <w:sz w:val="32"/>
          <w:szCs w:val="32"/>
        </w:rPr>
        <w:t xml:space="preserve"> </w:t>
      </w:r>
      <w:r>
        <w:rPr>
          <w:rFonts w:ascii="黑体" w:hAnsi="黑体" w:cs="黑体" w:hint="eastAsia" w:eastAsia="黑体"/>
          <w:bCs/>
          <w:sz w:val="32"/>
          <w:szCs w:val="32"/>
        </w:rPr>
        <w:t>文明行为基本规范</w:t>
      </w:r>
    </w:p>
    <w:p>
      <w:pPr>
        <w:pStyle w:val="Normal"/>
        <w:jc w:val="center"/>
        <w:rPr>
          <w:rFonts w:ascii="黑体" w:hAnsi="黑体" w:eastAsia="黑体" w:cs="黑体" w:hint="eastAsia"/>
          <w:bCs/>
          <w:sz w:val="32"/>
          <w:szCs w:val="32"/>
        </w:rPr>
      </w:pPr>
      <w:r>
        <w:rPr>
          <w:rFonts w:eastAsia="黑体" w:cs="黑体" w:hint="eastAsia" w:ascii="黑体" w:hAnsi="黑体"/>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第九条  </w:t>
      </w:r>
      <w:r>
        <w:rPr>
          <w:rFonts w:ascii="仿宋" w:hAnsi="仿宋" w:cs="仿宋" w:hint="eastAsia" w:eastAsia="仿宋"/>
          <w:sz w:val="32"/>
          <w:szCs w:val="32"/>
        </w:rPr>
        <w:t>公民应当维护公共环境卫生，遵守下列规定：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（一）养成健康生活习惯，不在禁止吸烟的场所吸烟；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（二）爱护公共环境，不随地吐痰、便溺，不违反规定丢弃果皮、纸屑、烟头、口香糖等垃圾；</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（三）携犬出户采取必要的卫生措施，及时清理犬便；</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（四）维护公共场所和公共设施整洁，不违反规定涂写、刻划、张贴；</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（五）移风易俗，文明祭祀，不焚烧冥纸、冥钞和在出殡途中抛撒纸钱、纸花；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（六）其他维护公共环境卫生的规定。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第十条  </w:t>
      </w:r>
      <w:r>
        <w:rPr>
          <w:rFonts w:ascii="仿宋" w:hAnsi="仿宋" w:cs="仿宋" w:hint="eastAsia" w:eastAsia="仿宋"/>
          <w:sz w:val="32"/>
          <w:szCs w:val="32"/>
        </w:rPr>
        <w:t>公民应当维护公共秩序，遵守下列规定：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（一）举止得体，语言文明，不大声喧哗；</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（二）携犬出户采取必要的安全措施，不危害他人人身安全；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（三）开展广场舞、健步走等文体娱乐活动时，妥善使用场地、设施、设备，不妨碍、影响他人的正常生活、学习和工作；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（四）维护网络秩序，不利用网络传播暴力、淫秽、色情信息，编造、传播虚假信息；</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（五）不违反规定使用高音广播喇叭或者采用其他发出高噪声的方法从事经营活动；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（六）尊重医护人员，理性处理医疗纠纷，不扰乱医疗场所秩序；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（七）等候服务时，遵守秩序，依次排队；</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（八）其他维护公共秩序的规定。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第十一条  </w:t>
      </w:r>
      <w:r>
        <w:rPr>
          <w:rFonts w:ascii="仿宋" w:hAnsi="仿宋" w:cs="仿宋" w:hint="eastAsia" w:eastAsia="仿宋"/>
          <w:sz w:val="32"/>
          <w:szCs w:val="32"/>
        </w:rPr>
        <w:t>公民应当维护道路交通秩序，遵守下列规定：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（一）驾驶机动车礼让通过斑马线的行人，不违反规定变道、穿插、超车、使用灯光和鸣笛；</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（二）驾驶非机动车按照交通信号指示通行，不违反规定进入机动车道、人行道行驶；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（三）行走时按照交通信号指示通行，不违反规定横穿道路、翻越交通护栏；</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（四）驾驶和乘坐机动车时，不向车外抛撒物品；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（五）按照规定地点停放互联网租赁自行车，不妨碍、影响其他车辆和行人通行；</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（六）其他维护道路交通秩序的规定。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第十二条  </w:t>
      </w:r>
      <w:r>
        <w:rPr>
          <w:rFonts w:ascii="仿宋" w:hAnsi="仿宋" w:cs="仿宋" w:hint="eastAsia" w:eastAsia="仿宋"/>
          <w:sz w:val="32"/>
          <w:szCs w:val="32"/>
        </w:rPr>
        <w:t>公民应当维护社区管理秩序，遵守下列规定：</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（一）不违反规定在楼道等公共空间内堆放杂物；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（二）不违反规定饲养家禽、家畜和宠物；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（三）不从建筑物、构筑物内向外抛撒物品；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（四）不违反规定搭建建筑物或者构筑物；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（五）不违反规定进行房屋装饰装修，妨碍、影响他人正常生活、学习和工作；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（六）其他维护社区管理秩序的规定。</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第三章  文明行为倡导和鼓励</w:t>
      </w:r>
    </w:p>
    <w:p>
      <w:pPr>
        <w:pStyle w:val="Normal"/>
        <w:rPr>
          <w:rFonts w:ascii="黑体" w:hAnsi="黑体" w:eastAsia="黑体" w:cs="黑体" w:hint="eastAsia"/>
          <w:bCs/>
          <w:sz w:val="32"/>
          <w:szCs w:val="32"/>
        </w:rPr>
      </w:pPr>
      <w:r>
        <w:rPr>
          <w:rFonts w:eastAsia="黑体" w:cs="黑体" w:hint="eastAsia" w:ascii="黑体" w:hAnsi="黑体"/>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第十三条  </w:t>
      </w:r>
      <w:r>
        <w:rPr>
          <w:rFonts w:ascii="仿宋" w:hAnsi="仿宋" w:cs="仿宋" w:hint="eastAsia" w:eastAsia="仿宋"/>
          <w:sz w:val="32"/>
          <w:szCs w:val="32"/>
        </w:rPr>
        <w:t>倡导和鼓励公民采取环保低碳的生活方式，节约水、电、气等资源和能源。</w:t>
      </w:r>
    </w:p>
    <w:p>
      <w:pPr>
        <w:pStyle w:val="Normal"/>
        <w:ind w:firstLineChars="200" w:startChars="0" w:start="0" w:endChars="0" w:end="0"/>
        <w:rPr>
          <w:rFonts w:ascii="黑体" w:hAnsi="黑体" w:eastAsia="黑体" w:cs="黑体" w:hint="eastAsia"/>
          <w:bCs/>
          <w:sz w:val="32"/>
          <w:szCs w:val="32"/>
        </w:rPr>
      </w:pPr>
      <w:r>
        <w:rPr>
          <w:rFonts w:ascii="仿宋" w:hAnsi="仿宋" w:cs="仿宋" w:hint="eastAsia" w:eastAsia="仿宋"/>
          <w:sz w:val="32"/>
          <w:szCs w:val="32"/>
        </w:rPr>
        <w:t>倡导和鼓励公民按照生活垃圾分类规定投放生活垃圾。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第十四条  </w:t>
      </w:r>
      <w:r>
        <w:rPr>
          <w:rFonts w:ascii="仿宋" w:hAnsi="仿宋" w:cs="仿宋" w:hint="eastAsia" w:eastAsia="仿宋"/>
          <w:sz w:val="32"/>
          <w:szCs w:val="32"/>
        </w:rPr>
        <w:t>倡导和鼓励公民适量点餐，文明用餐</w:t>
      </w:r>
      <w:r>
        <w:rPr>
          <w:rFonts w:ascii="黑体" w:hAnsi="黑体" w:cs="黑体" w:hint="eastAsia" w:eastAsia="黑体"/>
          <w:bCs/>
          <w:sz w:val="32"/>
          <w:szCs w:val="32"/>
        </w:rPr>
        <w:t>。</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第十五条  </w:t>
      </w:r>
      <w:r>
        <w:rPr>
          <w:rFonts w:ascii="仿宋" w:hAnsi="仿宋" w:cs="仿宋" w:hint="eastAsia" w:eastAsia="仿宋"/>
          <w:sz w:val="32"/>
          <w:szCs w:val="32"/>
        </w:rPr>
        <w:t>倡导和鼓励公民积极参与全民阅读等活动，提高思想道德素质和科学文化素质。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第十六条 </w:t>
      </w:r>
      <w:r>
        <w:rPr>
          <w:rFonts w:ascii="仿宋" w:hAnsi="仿宋" w:cs="仿宋" w:hint="eastAsia" w:eastAsia="仿宋"/>
          <w:bCs/>
          <w:sz w:val="32"/>
          <w:szCs w:val="32"/>
        </w:rPr>
        <w:t xml:space="preserve"> </w:t>
      </w:r>
      <w:r>
        <w:rPr>
          <w:rFonts w:ascii="仿宋" w:hAnsi="仿宋" w:cs="仿宋" w:hint="eastAsia" w:eastAsia="仿宋"/>
          <w:sz w:val="32"/>
          <w:szCs w:val="32"/>
        </w:rPr>
        <w:t>倡导和鼓励公民采取合法、适当的方式实施见义勇为。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市和区、县（市）人民政府应当依照国家、省和市有关规定，对见义勇为人员予以表彰、奖励。</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第十七条  </w:t>
      </w:r>
      <w:r>
        <w:rPr>
          <w:rFonts w:ascii="仿宋" w:hAnsi="仿宋" w:cs="仿宋" w:hint="eastAsia" w:eastAsia="仿宋"/>
          <w:sz w:val="32"/>
          <w:szCs w:val="32"/>
        </w:rPr>
        <w:t xml:space="preserve">倡导和鼓励公民参加扶贫、济困、扶老、救孤、恤病、助残、优抚等慈善活动。    </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仿宋" w:hAnsi="仿宋" w:cs="仿宋" w:hint="eastAsia" w:eastAsia="仿宋"/>
          <w:sz w:val="32"/>
          <w:szCs w:val="32"/>
        </w:rPr>
        <w:t>依法保护慈善活动参与者的合法权益。</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第十八条 </w:t>
      </w:r>
      <w:r>
        <w:rPr>
          <w:rFonts w:ascii="仿宋" w:hAnsi="仿宋" w:cs="仿宋" w:hint="eastAsia" w:eastAsia="仿宋"/>
          <w:sz w:val="32"/>
          <w:szCs w:val="32"/>
        </w:rPr>
        <w:t xml:space="preserve"> 倡导和鼓励公民参加志愿服务活动。</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志愿者开展志愿服务活动时，有关单位和组织应当为其提供便利条件。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志愿者参加志愿服务活动做出突出贡献的，市和区、县（市）人民政府或者有关部门应当按照规定给予表彰、奖励。</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第十九条 </w:t>
      </w:r>
      <w:r>
        <w:rPr>
          <w:rFonts w:ascii="仿宋" w:hAnsi="仿宋" w:cs="仿宋" w:hint="eastAsia" w:eastAsia="仿宋"/>
          <w:sz w:val="32"/>
          <w:szCs w:val="32"/>
        </w:rPr>
        <w:t xml:space="preserve"> 倡导和鼓励公民无偿献血和自愿捐献造血干细胞、遗体、人体器官。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无偿献血的公民及其配偶、父母和子女临床需要用血的，按照有关规定可以享受免交或者减交相关费用的待遇。</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第二十条 </w:t>
      </w:r>
      <w:r>
        <w:rPr>
          <w:rFonts w:ascii="黑体" w:hAnsi="黑体" w:cs="黑体" w:hint="eastAsia" w:eastAsia="黑体"/>
          <w:sz w:val="32"/>
          <w:szCs w:val="32"/>
        </w:rPr>
        <w:t xml:space="preserve"> </w:t>
      </w:r>
      <w:r>
        <w:rPr>
          <w:rFonts w:ascii="仿宋" w:hAnsi="仿宋" w:cs="仿宋" w:hint="eastAsia" w:eastAsia="仿宋"/>
          <w:sz w:val="32"/>
          <w:szCs w:val="32"/>
        </w:rPr>
        <w:t>倡导和鼓励公民参加自然灾害、事故灾难或者公共卫生事件发生后的应急救援和处置工作，为需要救助的人员提供必要的帮助。</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第四章  不文明行为治理</w:t>
      </w:r>
    </w:p>
    <w:p>
      <w:pPr>
        <w:pStyle w:val="Normal"/>
        <w:jc w:val="center"/>
        <w:rPr>
          <w:rFonts w:ascii="仿宋" w:hAnsi="仿宋" w:eastAsia="仿宋" w:cs="仿宋" w:hint="eastAsia"/>
          <w:bCs/>
          <w:sz w:val="32"/>
          <w:szCs w:val="32"/>
        </w:rPr>
      </w:pPr>
      <w:r>
        <w:rPr>
          <w:rFonts w:eastAsia="仿宋" w:cs="仿宋" w:hint="eastAsia" w:ascii="仿宋" w:hAnsi="仿宋"/>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第二十一条  </w:t>
      </w:r>
      <w:r>
        <w:rPr>
          <w:rFonts w:ascii="仿宋" w:hAnsi="仿宋" w:cs="仿宋" w:hint="eastAsia" w:eastAsia="仿宋"/>
          <w:sz w:val="32"/>
          <w:szCs w:val="32"/>
        </w:rPr>
        <w:t>市精神文明建设工作机构应当定期组织市和区、县（市）公安、城管、民政、卫生健康、房产等主管部门开展不文明行为治理活动，及时发现、制止、纠正和查处不文明行为。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第二十二条  </w:t>
      </w:r>
      <w:r>
        <w:rPr>
          <w:rFonts w:ascii="仿宋" w:hAnsi="仿宋" w:cs="仿宋" w:hint="eastAsia" w:eastAsia="仿宋"/>
          <w:sz w:val="32"/>
          <w:szCs w:val="32"/>
        </w:rPr>
        <w:t>在维护公共环境卫生方面，重点治理以下不文明行为：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（一）随地吐痰、随处便溺，犬便不清理；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（二）在城市道路、广场、公园、居民小区等公共场所，焚烧冥纸、冥钞和在出殡途中抛撒纸钱、纸花；</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（三）在医院、影剧院、车站、港口、机场、商场等禁止吸烟的公共场所和公共交通工具内吸烟。</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第二十三条  </w:t>
      </w:r>
      <w:r>
        <w:rPr>
          <w:rFonts w:ascii="仿宋" w:hAnsi="仿宋" w:cs="仿宋" w:hint="eastAsia" w:eastAsia="仿宋"/>
          <w:sz w:val="32"/>
          <w:szCs w:val="32"/>
        </w:rPr>
        <w:t>在维护公共秩序方面，重点治理以下不文明行为：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（一）在公共场所大声喧哗、争吵谩骂；</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（二）遛犬不牵引；</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（三）在街道、广场、公园等公共场所开展娱乐、体育活动时，严重妨碍他人正常生活、学习和工作。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第二十四条  </w:t>
      </w:r>
      <w:r>
        <w:rPr>
          <w:rFonts w:ascii="仿宋" w:hAnsi="仿宋" w:cs="仿宋" w:hint="eastAsia" w:eastAsia="仿宋"/>
          <w:sz w:val="32"/>
          <w:szCs w:val="32"/>
        </w:rPr>
        <w:t>在维护道路交通秩序方面，重点治理以下不文明行为：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（一）驾驶机动车随意变道、穿插、超车、使用灯光和鸣笛，不礼让通过斑马线的行人；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（二）驾驶非机动车不按照交通信号指示通行，违反规定进入机动车道行驶；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（三）行人不按照交通信号指示通行，违反规定横穿道路、翻越交通护栏。</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第二十五条  </w:t>
      </w:r>
      <w:r>
        <w:rPr>
          <w:rFonts w:ascii="仿宋" w:hAnsi="仿宋" w:cs="仿宋" w:hint="eastAsia" w:eastAsia="仿宋"/>
          <w:sz w:val="32"/>
          <w:szCs w:val="32"/>
        </w:rPr>
        <w:t>在维护社区管理秩序方面，重点治理以下不文明行为：</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（一）从建筑物、构筑物向外抛物；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（二）违反规定在楼道等公共空间内堆放杂物；</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（三）违反规定进行房屋装饰装修，严重妨碍、影响他人生活、学习和工作。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第二十六条 </w:t>
      </w:r>
      <w:r>
        <w:rPr>
          <w:rFonts w:ascii="仿宋" w:hAnsi="仿宋" w:cs="仿宋" w:hint="eastAsia" w:eastAsia="仿宋"/>
          <w:bCs/>
          <w:sz w:val="32"/>
          <w:szCs w:val="32"/>
        </w:rPr>
        <w:t xml:space="preserve"> </w:t>
      </w:r>
      <w:r>
        <w:rPr>
          <w:rFonts w:ascii="仿宋" w:hAnsi="仿宋" w:cs="仿宋" w:hint="eastAsia" w:eastAsia="仿宋"/>
          <w:sz w:val="32"/>
          <w:szCs w:val="32"/>
        </w:rPr>
        <w:t>市精神文明建设工作机构可以根据文明行为促进工作需要，确定重点治理的其他不文明行为，并向社会公布。</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第五章  保障与监督</w:t>
      </w:r>
    </w:p>
    <w:p>
      <w:pPr>
        <w:pStyle w:val="Normal"/>
        <w:jc w:val="center"/>
        <w:rPr>
          <w:rFonts w:ascii="仿宋" w:hAnsi="仿宋" w:eastAsia="仿宋" w:cs="仿宋" w:hint="eastAsia"/>
          <w:bCs/>
          <w:sz w:val="32"/>
          <w:szCs w:val="32"/>
        </w:rPr>
      </w:pPr>
      <w:r>
        <w:rPr>
          <w:rFonts w:eastAsia="仿宋" w:cs="仿宋" w:hint="eastAsia" w:ascii="仿宋" w:hAnsi="仿宋"/>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第二十七条 </w:t>
      </w:r>
      <w:r>
        <w:rPr>
          <w:rFonts w:ascii="仿宋" w:hAnsi="仿宋" w:cs="仿宋" w:hint="eastAsia" w:eastAsia="仿宋"/>
          <w:sz w:val="32"/>
          <w:szCs w:val="32"/>
        </w:rPr>
        <w:t xml:space="preserve"> 市和区、县（市）人民政府应当加大对促进文明行为活动建设需要的基础设施的投入，加强其规划、建设和管理。</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第二十八条 </w:t>
      </w:r>
      <w:r>
        <w:rPr>
          <w:rFonts w:ascii="仿宋" w:hAnsi="仿宋" w:cs="仿宋" w:hint="eastAsia" w:eastAsia="仿宋"/>
          <w:sz w:val="32"/>
          <w:szCs w:val="32"/>
        </w:rPr>
        <w:t xml:space="preserve"> 市和区、县（市）教育主管部门以及教育机构应当将文明行为教育纳入教育教学内容，引导未成年人养成文明行为习惯。</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第二十九条 </w:t>
      </w:r>
      <w:r>
        <w:rPr>
          <w:rFonts w:ascii="仿宋" w:hAnsi="仿宋" w:cs="仿宋" w:hint="eastAsia" w:eastAsia="仿宋"/>
          <w:bCs/>
          <w:sz w:val="32"/>
          <w:szCs w:val="32"/>
        </w:rPr>
        <w:t xml:space="preserve"> </w:t>
      </w:r>
      <w:r>
        <w:rPr>
          <w:rFonts w:ascii="仿宋" w:hAnsi="仿宋" w:cs="仿宋" w:hint="eastAsia" w:eastAsia="仿宋"/>
          <w:sz w:val="32"/>
          <w:szCs w:val="32"/>
        </w:rPr>
        <w:t>国家机关、企业事业单位、基层群众性自治组织和其他社会组织应当对其工作场所、营业场所或者服务区域内的不文明行为进行劝阻。</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公民有权制止、劝阻不文明行为。</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bCs/>
          <w:sz w:val="32"/>
          <w:szCs w:val="32"/>
        </w:rPr>
        <w:t xml:space="preserve"> </w:t>
      </w:r>
      <w:r>
        <w:rPr>
          <w:rFonts w:ascii="黑体" w:hAnsi="黑体" w:cs="黑体" w:hint="eastAsia" w:eastAsia="黑体"/>
          <w:bCs/>
          <w:sz w:val="32"/>
          <w:szCs w:val="32"/>
        </w:rPr>
        <w:t>第三十条</w:t>
      </w:r>
      <w:r>
        <w:rPr>
          <w:rFonts w:ascii="黑体" w:hAnsi="黑体" w:cs="黑体" w:hint="eastAsia" w:eastAsia="黑体"/>
          <w:sz w:val="32"/>
          <w:szCs w:val="32"/>
        </w:rPr>
        <w:t xml:space="preserve">  </w:t>
      </w:r>
      <w:r>
        <w:rPr>
          <w:rFonts w:ascii="仿宋" w:hAnsi="仿宋" w:cs="仿宋" w:hint="eastAsia" w:eastAsia="仿宋"/>
          <w:sz w:val="32"/>
          <w:szCs w:val="32"/>
        </w:rPr>
        <w:t>市和区、县（市）人民政府有关主管部门可以聘请文明行为协管员、监督员，协助做好文明行为宣传引导和不文明行为制止、纠正等工作。</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bCs/>
          <w:sz w:val="32"/>
          <w:szCs w:val="32"/>
        </w:rPr>
        <w:t xml:space="preserve">第三十一条 </w:t>
      </w:r>
      <w:r>
        <w:rPr>
          <w:rFonts w:ascii="仿宋" w:hAnsi="仿宋" w:cs="仿宋" w:hint="eastAsia" w:eastAsia="仿宋"/>
          <w:sz w:val="32"/>
          <w:szCs w:val="32"/>
        </w:rPr>
        <w:t xml:space="preserve"> 新闻媒体应当宣传文明行为促进工作，通过刊播公益广告、宣传先进典型等方式，引导公民实施文明行为，曝光不文明现象，营造全社会鼓励和促进文明行为的氛围。</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第三十二条  </w:t>
      </w:r>
      <w:r>
        <w:rPr>
          <w:rFonts w:ascii="仿宋" w:hAnsi="仿宋" w:cs="仿宋" w:hint="eastAsia" w:eastAsia="仿宋"/>
          <w:sz w:val="32"/>
          <w:szCs w:val="32"/>
        </w:rPr>
        <w:t>市和区、县（市）人民政府有关主管部门，应当依托“</w:t>
      </w:r>
      <w:r>
        <w:rPr>
          <w:rFonts w:eastAsia="仿宋" w:cs="仿宋" w:hint="eastAsia" w:ascii="仿宋" w:hAnsi="仿宋"/>
          <w:sz w:val="32"/>
          <w:szCs w:val="32"/>
        </w:rPr>
        <w:t>12345</w:t>
      </w:r>
      <w:r>
        <w:rPr>
          <w:rFonts w:ascii="仿宋" w:hAnsi="仿宋" w:cs="仿宋" w:hint="eastAsia" w:eastAsia="仿宋"/>
          <w:sz w:val="32"/>
          <w:szCs w:val="32"/>
        </w:rPr>
        <w:t>沈阳市民服务热线”受理不文明行为的投诉、举报，接到投诉、举报后，应当依法及时处理。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市和区、县（市）人民政府应当对有关主管部门办理投诉、举报事项的情况实施考评。</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第三十三条 </w:t>
      </w:r>
      <w:r>
        <w:rPr>
          <w:rFonts w:ascii="仿宋" w:hAnsi="仿宋" w:cs="仿宋" w:hint="eastAsia" w:eastAsia="仿宋"/>
          <w:bCs/>
          <w:sz w:val="32"/>
          <w:szCs w:val="32"/>
        </w:rPr>
        <w:t xml:space="preserve"> </w:t>
      </w:r>
      <w:r>
        <w:rPr>
          <w:rFonts w:ascii="仿宋" w:hAnsi="仿宋" w:cs="仿宋" w:hint="eastAsia" w:eastAsia="仿宋"/>
          <w:sz w:val="32"/>
          <w:szCs w:val="32"/>
        </w:rPr>
        <w:t>市精神文明建设工作机构应当会同有关主管部门建立文明行为记录制度和不文明行为信息共享机制。</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ascii="黑体" w:hAnsi="黑体" w:cs="黑体" w:hint="eastAsia" w:eastAsia="黑体"/>
          <w:bCs/>
          <w:sz w:val="32"/>
          <w:szCs w:val="32"/>
        </w:rPr>
        <w:t>第三十四条</w:t>
      </w:r>
      <w:r>
        <w:rPr>
          <w:rFonts w:ascii="仿宋" w:hAnsi="仿宋" w:cs="仿宋" w:hint="eastAsia" w:eastAsia="仿宋"/>
          <w:sz w:val="32"/>
          <w:szCs w:val="32"/>
        </w:rPr>
        <w:t xml:space="preserve">  市和区、县（市）精神文明建设工作机构应当会同有关主管部门建立健全文明行为表彰、奖励制度，对在文明行为促进活动中作出贡献的单位和个人进行表彰、奖励。</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bCs/>
          <w:sz w:val="32"/>
          <w:szCs w:val="32"/>
        </w:rPr>
        <w:t xml:space="preserve"> </w:t>
      </w:r>
      <w:r>
        <w:rPr>
          <w:rFonts w:ascii="黑体" w:hAnsi="黑体" w:cs="黑体" w:hint="eastAsia" w:eastAsia="黑体"/>
          <w:bCs/>
          <w:sz w:val="32"/>
          <w:szCs w:val="32"/>
        </w:rPr>
        <w:t xml:space="preserve">第三十五条 </w:t>
      </w:r>
      <w:r>
        <w:rPr>
          <w:rFonts w:ascii="黑体" w:hAnsi="黑体" w:cs="黑体" w:hint="eastAsia" w:eastAsia="黑体"/>
          <w:sz w:val="32"/>
          <w:szCs w:val="32"/>
        </w:rPr>
        <w:t xml:space="preserve"> </w:t>
      </w:r>
      <w:r>
        <w:rPr>
          <w:rFonts w:ascii="仿宋" w:hAnsi="仿宋" w:cs="仿宋" w:hint="eastAsia" w:eastAsia="仿宋"/>
          <w:sz w:val="32"/>
          <w:szCs w:val="32"/>
        </w:rPr>
        <w:t>市和区、县（市）精神文明建设工作机构应当开展社会文明程度指数测评工作，并对文明城市、文明单位、文明村镇、文明家庭、文明校园进行考核。</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第六章</w:t>
      </w:r>
      <w:r>
        <w:rPr>
          <w:rFonts w:ascii="黑体" w:hAnsi="黑体" w:cs="黑体" w:hint="eastAsia" w:eastAsia="黑体"/>
          <w:sz w:val="32"/>
          <w:szCs w:val="32"/>
        </w:rPr>
        <w:t xml:space="preserve">  </w:t>
      </w:r>
      <w:r>
        <w:rPr>
          <w:rFonts w:ascii="黑体" w:hAnsi="黑体" w:cs="黑体" w:hint="eastAsia" w:eastAsia="黑体"/>
          <w:bCs/>
          <w:sz w:val="32"/>
          <w:szCs w:val="32"/>
        </w:rPr>
        <w:t>法律责任</w:t>
      </w:r>
    </w:p>
    <w:p>
      <w:pPr>
        <w:pStyle w:val="Normal"/>
        <w:jc w:val="center"/>
        <w:rPr>
          <w:rFonts w:ascii="仿宋" w:hAnsi="仿宋" w:eastAsia="仿宋" w:cs="仿宋" w:hint="eastAsia"/>
          <w:bCs/>
          <w:sz w:val="32"/>
          <w:szCs w:val="32"/>
        </w:rPr>
      </w:pPr>
      <w:r>
        <w:rPr>
          <w:rFonts w:eastAsia="仿宋" w:cs="仿宋" w:hint="eastAsia" w:ascii="仿宋" w:hAnsi="仿宋"/>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第三十六条  </w:t>
      </w:r>
      <w:r>
        <w:rPr>
          <w:rFonts w:ascii="仿宋" w:hAnsi="仿宋" w:cs="仿宋" w:hint="eastAsia" w:eastAsia="仿宋"/>
          <w:sz w:val="32"/>
          <w:szCs w:val="32"/>
        </w:rPr>
        <w:t>违反本条例规定实施不文明行为，其他法律、法规已有法律责任规定的，从其规定。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第三十七条  </w:t>
      </w:r>
      <w:r>
        <w:rPr>
          <w:rFonts w:ascii="仿宋" w:hAnsi="仿宋" w:cs="仿宋" w:hint="eastAsia" w:eastAsia="仿宋"/>
          <w:sz w:val="32"/>
          <w:szCs w:val="32"/>
        </w:rPr>
        <w:t>违反本条例第二十二条第二项规定的，由有关主管部门责令改正，并处二十元以上二百元以下罚款。</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第三十八条 </w:t>
      </w:r>
      <w:r>
        <w:rPr>
          <w:rFonts w:ascii="仿宋" w:hAnsi="仿宋" w:cs="仿宋" w:hint="eastAsia" w:eastAsia="仿宋"/>
          <w:sz w:val="32"/>
          <w:szCs w:val="32"/>
        </w:rPr>
        <w:t xml:space="preserve"> 因不文明行为受到罚款处罚的，行为人可以申请参加社会服务。经有关主管部门同意并完成相应社会服务的，可以依法减免罚款金额。</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第三十九条 </w:t>
      </w:r>
      <w:r>
        <w:rPr>
          <w:rFonts w:ascii="黑体" w:hAnsi="黑体" w:cs="黑体" w:hint="eastAsia" w:eastAsia="黑体"/>
          <w:sz w:val="32"/>
          <w:szCs w:val="32"/>
        </w:rPr>
        <w:t xml:space="preserve"> </w:t>
      </w:r>
      <w:r>
        <w:rPr>
          <w:rFonts w:ascii="仿宋" w:hAnsi="仿宋" w:cs="仿宋" w:hint="eastAsia" w:eastAsia="仿宋"/>
          <w:sz w:val="32"/>
          <w:szCs w:val="32"/>
        </w:rPr>
        <w:t>采取威胁、侮辱、殴打等方式打击报复不文明行为劝阻人、投诉人、举报人的，由公安机关依照《中华人民共和国治安管理处罚法》的规定予以处罚；构成犯罪的，依法追究刑事责任。</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第四十条 </w:t>
      </w:r>
      <w:r>
        <w:rPr>
          <w:rFonts w:ascii="仿宋" w:hAnsi="仿宋" w:cs="仿宋" w:hint="eastAsia" w:eastAsia="仿宋"/>
          <w:sz w:val="32"/>
          <w:szCs w:val="32"/>
        </w:rPr>
        <w:t xml:space="preserve"> 国家机关及其工作人员在文明行为促进工作中有下列行为之一的，由其上级主管部门或者所在单位责令改正，通报批评；情节严重的，对直接负责的主管人员和其他直接责任人员给予处分：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（一）对有关设施、场所疏于规划、建设、管理、维护，致使供给严重不足、设施严重残缺或者丧失功能的；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（二）未依法及时受理投诉举报或者未及时调查、处理的；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（三）未依法实施监督管理的；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（四）推进本辖区、本行业文明行为促进工作明显不力的；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（五）其他不履行或者不正确履行职责的行为。</w:t>
      </w:r>
    </w:p>
    <w:p>
      <w:pPr>
        <w:pStyle w:val="Normal"/>
        <w:ind w:firstLineChars="200" w:startChars="0" w:start="0" w:endChars="0" w:end="0"/>
        <w:rPr>
          <w:rFonts w:ascii="仿宋" w:hAnsi="仿宋" w:eastAsia="仿宋" w:cs="仿宋" w:hint="eastAsia"/>
          <w:sz w:val="32"/>
          <w:szCs w:val="32"/>
        </w:rPr>
      </w:pPr>
      <w:r>
        <w:rPr>
          <w:rFonts w:eastAsia="仿宋" w:cs="仿宋" w:hint="eastAsia" w:ascii="仿宋" w:hAnsi="仿宋"/>
          <w:sz w:val="32"/>
          <w:szCs w:val="32"/>
        </w:rPr>
      </w:r>
    </w:p>
    <w:p>
      <w:pPr>
        <w:pStyle w:val="Normal"/>
        <w:jc w:val="center"/>
        <w:rPr>
          <w:rFonts w:ascii="黑体" w:hAnsi="黑体" w:eastAsia="黑体" w:cs="黑体" w:hint="eastAsia"/>
          <w:bCs/>
          <w:sz w:val="32"/>
          <w:szCs w:val="32"/>
        </w:rPr>
      </w:pPr>
      <w:r>
        <w:rPr>
          <w:rFonts w:ascii="黑体" w:hAnsi="黑体" w:cs="黑体" w:hint="eastAsia" w:eastAsia="黑体"/>
          <w:bCs/>
          <w:sz w:val="32"/>
          <w:szCs w:val="32"/>
        </w:rPr>
        <w:t>第七章  附则</w:t>
      </w:r>
    </w:p>
    <w:p>
      <w:pPr>
        <w:pStyle w:val="Normal"/>
        <w:jc w:val="center"/>
        <w:rPr>
          <w:rFonts w:ascii="仿宋" w:hAnsi="仿宋" w:eastAsia="仿宋" w:cs="仿宋" w:hint="eastAsia"/>
          <w:bCs/>
          <w:sz w:val="32"/>
          <w:szCs w:val="32"/>
        </w:rPr>
      </w:pPr>
      <w:r>
        <w:rPr>
          <w:rFonts w:eastAsia="仿宋" w:cs="仿宋" w:hint="eastAsia" w:ascii="仿宋" w:hAnsi="仿宋"/>
          <w:bCs/>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bCs/>
          <w:sz w:val="32"/>
          <w:szCs w:val="32"/>
        </w:rPr>
        <w:t xml:space="preserve">第四十一条 </w:t>
      </w:r>
      <w:r>
        <w:rPr>
          <w:rFonts w:ascii="仿宋" w:hAnsi="仿宋" w:cs="仿宋" w:hint="eastAsia" w:eastAsia="仿宋"/>
          <w:sz w:val="32"/>
          <w:szCs w:val="32"/>
        </w:rPr>
        <w:t xml:space="preserve"> 本条例自</w:t>
      </w:r>
      <w:r>
        <w:rPr>
          <w:rFonts w:eastAsia="仿宋" w:cs="仿宋" w:hint="eastAsia" w:ascii="仿宋" w:hAnsi="仿宋"/>
          <w:sz w:val="32"/>
          <w:szCs w:val="32"/>
        </w:rPr>
        <w:t>2020</w:t>
      </w:r>
      <w:r>
        <w:rPr>
          <w:rFonts w:ascii="仿宋" w:hAnsi="仿宋" w:cs="仿宋" w:hint="eastAsia" w:eastAsia="仿宋"/>
          <w:sz w:val="32"/>
          <w:szCs w:val="32"/>
        </w:rPr>
        <w:t>年</w:t>
      </w:r>
      <w:r>
        <w:rPr>
          <w:rFonts w:eastAsia="仿宋" w:cs="仿宋" w:hint="eastAsia" w:ascii="仿宋" w:hAnsi="仿宋"/>
          <w:sz w:val="32"/>
          <w:szCs w:val="32"/>
        </w:rPr>
        <w:t>5</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p>
    <w:p>
      <w:pPr>
        <w:pStyle w:val="Normal"/>
        <w:rPr>
          <w:rFonts w:ascii="仿宋" w:hAnsi="仿宋" w:eastAsia="仿宋" w:cs="仿宋" w:hint="eastAsia"/>
          <w:sz w:val="24"/>
          <w:szCs w:val="32"/>
        </w:rPr>
      </w:pPr>
      <w:r>
        <w:rPr>
          <w:rFonts w:eastAsia="仿宋" w:cs="仿宋" w:hint="eastAsia" w:ascii="仿宋" w:hAnsi="仿宋"/>
          <w:sz w:val="24"/>
          <w:szCs w:val="32"/>
        </w:rPr>
      </w:r>
    </w:p>
    <w:sectPr>
      <w:footerReference w:type="even" r:id="rId2"/>
      <w:footerReference w:type="default" r:id="rId3"/>
      <w:type w:val="nextPage"/>
      <w:pgSz w:w="11906" w:h="16838"/>
      <w:pgMar w:left="1587" w:right="1474" w:gutter="0" w:header="0" w:top="2097" w:footer="992" w:bottom="187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auto"/>
    <w:pitch w:val="default"/>
  </w:font>
  <w:font w:name="仿宋">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r>
      <mc:AlternateContent>
        <mc:Choice Requires="wps">
          <w:drawing>
            <wp:anchor distT="0" distB="0" distL="0" distR="0" simplePos="0" relativeHeight="12" behindDoc="0" locked="0" layoutInCell="0" allowOverlap="1">
              <wp:simplePos x="0" y="0"/>
              <wp:positionH relativeFrom="margin">
                <wp:posOffset>-635</wp:posOffset>
              </wp:positionH>
              <wp:positionV relativeFrom="paragraph">
                <wp:posOffset>635</wp:posOffset>
              </wp:positionV>
              <wp:extent cx="247015" cy="302260"/>
              <wp:effectExtent l="0" t="0" r="0" b="0"/>
              <wp:wrapSquare wrapText="bothSides"/>
              <wp:docPr id="1" name="Frame3"/>
              <a:graphic xmlns:a="http://schemas.openxmlformats.org/drawingml/2006/main">
                <a:graphicData uri="http://schemas.microsoft.com/office/word/2010/wordprocessingShape">
                  <wps:wsp>
                    <wps:cNvSpPr txBox="1"/>
                    <wps:spPr>
                      <a:xfrm>
                        <a:off x="0" y="0"/>
                        <a:ext cx="247015" cy="302260"/>
                      </a:xfrm>
                      <a:prstGeom prst="rect"/>
                      <a:solidFill>
                        <a:srgbClr val="FFFFFF">
                          <a:alpha val="0"/>
                        </a:srgbClr>
                      </a:solidFill>
                    </wps:spPr>
                    <wps:txbx>
                      <w:txbxContent>
                        <w:p>
                          <w:pPr>
                            <w:pStyle w:val="Footer"/>
                            <w:widowControl w:val="false"/>
                            <w:pBdr/>
                            <w:snapToGrid w:val="false"/>
                            <w:spacing w:before="0" w:after="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19.4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spacing w:before="0" w:after="0"/>
                      <w:jc w:val="start"/>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10</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distT="0" distB="0" distL="0" distR="0" simplePos="0" relativeHeight="7" behindDoc="0" locked="0" layoutInCell="0" allowOverlap="1">
              <wp:simplePos x="0" y="0"/>
              <wp:positionH relativeFrom="margin">
                <wp:posOffset>-635</wp:posOffset>
              </wp:positionH>
              <wp:positionV relativeFrom="paragraph">
                <wp:posOffset>635</wp:posOffset>
              </wp:positionV>
              <wp:extent cx="301371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3013710" cy="302260"/>
                      </a:xfrm>
                      <a:prstGeom prst="rect"/>
                      <a:solidFill>
                        <a:srgbClr val="FFFFFF">
                          <a:alpha val="0"/>
                        </a:srgbClr>
                      </a:solidFill>
                    </wps:spPr>
                    <wps:txbx>
                      <w:txbxContent>
                        <w:p>
                          <w:pPr>
                            <w:pStyle w:val="Footer"/>
                            <w:widowControl w:val="false"/>
                            <w:pBdr/>
                            <w:snapToGrid w:val="false"/>
                            <w:spacing w:before="0" w:after="0"/>
                            <w:jc w:val="start"/>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7.3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widowControl w:val="false"/>
                      <w:pBdr/>
                      <w:snapToGrid w:val="false"/>
                      <w:spacing w:before="0" w:after="0"/>
                      <w:jc w:val="start"/>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11</w:t>
                    </w:r>
                    <w:r>
                      <w:rPr>
                        <w:rFonts w:eastAsia="宋体" w:cs="宋体" w:hint="eastAsia" w:ascii="宋体" w:hAnsi="宋体"/>
                        <w:sz w:val="28"/>
                      </w:rPr>
                      <w:fldChar w:fldCharType="end"/>
                    </w:r>
                  </w:p>
                </w:txbxContent>
              </v:textbox>
              <w10:wrap type="square"/>
            </v:rect>
          </w:pict>
        </mc:Fallback>
      </mc:AlternateContent>
    </w:r>
    <w:r>
      <mc:AlternateContent>
        <mc:Choice Requires="wps">
          <w:drawing>
            <wp:anchor distT="0" distB="0" distL="114935" distR="114935" simplePos="0" relativeHeight="18" behindDoc="1" locked="0" layoutInCell="0" allowOverlap="1">
              <wp:simplePos x="0" y="0"/>
              <wp:positionH relativeFrom="margin">
                <wp:align>center</wp:align>
              </wp:positionH>
              <wp:positionV relativeFrom="paragraph">
                <wp:posOffset>635</wp:posOffset>
              </wp:positionV>
              <wp:extent cx="15875" cy="140970"/>
              <wp:effectExtent l="0" t="0" r="0" b="0"/>
              <wp:wrapNone/>
              <wp:docPr id="3" name="Frame2"/>
              <a:graphic xmlns:a="http://schemas.openxmlformats.org/drawingml/2006/main">
                <a:graphicData uri="http://schemas.microsoft.com/office/word/2010/wordprocessingShape">
                  <wps:wsp>
                    <wps:cNvSpPr txBox="1"/>
                    <wps:spPr>
                      <a:xfrm>
                        <a:off x="0" y="0"/>
                        <a:ext cx="15875" cy="140970"/>
                      </a:xfrm>
                      <a:prstGeom prst="rect"/>
                      <a:solidFill>
                        <a:srgbClr val="FFFFFF">
                          <a:alpha val="0"/>
                        </a:srgbClr>
                      </a:solidFill>
                    </wps:spPr>
                    <wps:txbx>
                      <w:txbxContent>
                        <w:p>
                          <w:pPr>
                            <w:pStyle w:val="Footer"/>
                            <w:rPr>
                              <w:rFonts w:hint="eastAsia"/>
                            </w:rPr>
                          </w:pPr>
                          <w:r>
                            <w:rPr>
                              <w:rFonts w:hint="eastAsia"/>
                            </w:rPr>
                          </w:r>
                        </w:p>
                      </w:txbxContent>
                    </wps:txbx>
                    <wps:bodyPr anchor="t" lIns="635" tIns="635" rIns="635" bIns="635">
                      <a:spAutoFit/>
                    </wps:bodyPr>
                  </wps:wsp>
                </a:graphicData>
              </a:graphic>
            </wp:anchor>
          </w:drawing>
        </mc:Choice>
        <mc:Fallback>
          <w:pict>
            <v:rect fillcolor="#FFFFFF" style="position:absolute;rotation:-0;width:1.25pt;height:11.1pt;mso-wrap-distance-left:9.05pt;mso-wrap-distance-right:9.05pt;mso-wrap-distance-top:0pt;mso-wrap-distance-bottom:0pt;margin-top:0pt;mso-position-vertical-relative:text;margin-left:220.5pt;mso-position-horizontal:center;mso-position-horizontal-relative:margin">
              <v:fill opacity="0f"/>
              <v:textbox inset="0.000694444444444445in,0.000694444444444445in,0.000694444444444445in,0.000694444444444445in">
                <w:txbxContent>
                  <w:p>
                    <w:pPr>
                      <w:pStyle w:val="Footer"/>
                      <w:rPr>
                        <w:rFonts w:hint="eastAsia"/>
                      </w:rPr>
                    </w:pPr>
                    <w:r>
                      <w:rPr>
                        <w:rFonts w:hint="eastAsia"/>
                      </w:rPr>
                    </w:r>
                  </w:p>
                </w:txbxContent>
              </v:textbox>
              <w10:wrap type="none"/>
            </v:rect>
          </w:pict>
        </mc:Fallback>
      </mc:AlternateContent>
    </w:r>
  </w:p>
</w:ftr>
</file>

<file path=word/settings.xml><?xml version="1.0" encoding="utf-8"?>
<w:settings xmlns:w="http://schemas.openxmlformats.org/wordprocessingml/2006/main">
  <w:zoom w:percent="10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Calibri"/>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2019-12-04T09:32:00Z</dcterms:created>
  <dc:creator>wangxiao</dc:creator>
  <dc:description/>
  <dc:language>en-US</dc:language>
  <cp:lastModifiedBy>翟辰松</cp:lastModifiedBy>
  <dcterms:modified xsi:type="dcterms:W3CDTF">2020-04-29T16:37:36Z</dcterms:modified>
  <cp:revision>5</cp:revision>
  <dc:subject/>
  <dc:title>《沈阳市文明行为促进条例（草案）》二次审议稿与法律、法规依据对照表</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