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ind w:firstLineChars="200" w:startChars="428" w:endChars="0" w:end="0"/>
        <w:rPr>
          <w:rFonts w:ascii="宋体" w:hAnsi="宋体" w:cs="仿宋"/>
          <w:sz w:val="32"/>
          <w:szCs w:val="32"/>
        </w:rPr>
      </w:pPr>
      <w:r>
        <w:rPr>
          <w:rFonts w:cs="仿宋" w:ascii="宋体" w:hAnsi="宋体"/>
          <w:sz w:val="32"/>
          <w:szCs w:val="32"/>
        </w:rPr>
      </w:r>
    </w:p>
    <w:p>
      <w:pPr>
        <w:pStyle w:val="Normal"/>
        <w:spacing w:lineRule="exact" w:line="560"/>
        <w:ind w:firstLineChars="200" w:startChars="0" w:start="0" w:endChars="0" w:end="0"/>
        <w:rPr>
          <w:rFonts w:ascii="宋体" w:hAnsi="宋体" w:cs="仿宋"/>
          <w:sz w:val="32"/>
          <w:szCs w:val="32"/>
        </w:rPr>
      </w:pPr>
      <w:r>
        <w:rPr>
          <w:rFonts w:cs="仿宋" w:ascii="宋体" w:hAnsi="宋体"/>
          <w:sz w:val="32"/>
          <w:szCs w:val="32"/>
        </w:rPr>
      </w:r>
    </w:p>
    <w:p>
      <w:pPr>
        <w:pStyle w:val="Heading2"/>
        <w:spacing w:lineRule="exact" w:line="560"/>
        <w:ind w:hanging="0" w:start="0"/>
        <w:rPr>
          <w:rFonts w:hint="eastAsia"/>
        </w:rPr>
      </w:pPr>
      <w:r>
        <w:rPr>
          <w:rFonts w:hint="eastAsia"/>
        </w:rPr>
        <w:t>本溪市住房公积金管理条例</w:t>
      </w:r>
    </w:p>
    <w:p>
      <w:pPr>
        <w:pStyle w:val="000"/>
        <w:rPr>
          <w:rFonts w:ascii="宋体" w:hAnsi="宋体" w:eastAsia="宋体" w:cs="宋体"/>
        </w:rPr>
      </w:pPr>
      <w:r>
        <w:rPr>
          <w:rFonts w:eastAsia="宋体" w:cs="宋体" w:ascii="宋体" w:hAnsi="宋体"/>
        </w:rPr>
      </w:r>
    </w:p>
    <w:p>
      <w:pPr>
        <w:pStyle w:val="Normal"/>
        <w:ind w:firstLineChars="0" w:firstLine="0" w:startChars="342" w:endChars="354"/>
        <w:rPr>
          <w:rFonts w:ascii="楷体_GB2312" w:hAnsi="楷体_GB2312" w:eastAsia="楷体_GB2312" w:cs="宋体" w:hint="eastAsia"/>
          <w:kern w:val="0"/>
          <w:sz w:val="32"/>
          <w:szCs w:val="32"/>
        </w:rPr>
      </w:pPr>
      <w:bookmarkStart w:id="0" w:name="_GoBack"/>
      <w:bookmarkEnd w:id="0"/>
      <w:r>
        <w:rPr>
          <w:rFonts w:ascii="楷体_GB2312" w:hAnsi="楷体_GB2312" w:hint="eastAsia" w:eastAsia="楷体_GB2312"/>
          <w:sz w:val="32"/>
          <w:szCs w:val="32"/>
        </w:rPr>
        <w:t>（</w:t>
      </w:r>
      <w:r>
        <w:rPr>
          <w:rFonts w:eastAsia="楷体_GB2312" w:hint="eastAsia" w:ascii="楷体_GB2312" w:hAnsi="楷体_GB2312"/>
          <w:sz w:val="32"/>
          <w:szCs w:val="32"/>
        </w:rPr>
        <w:t>2005</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10</w:t>
      </w:r>
      <w:r>
        <w:rPr>
          <w:rFonts w:ascii="楷体_GB2312" w:hAnsi="楷体_GB2312" w:hint="eastAsia" w:eastAsia="楷体_GB2312"/>
          <w:sz w:val="32"/>
          <w:szCs w:val="32"/>
        </w:rPr>
        <w:t xml:space="preserve">日本溪市第十三届人民代表大会常务委员会第十八次会议通过  </w:t>
      </w:r>
      <w:r>
        <w:rPr>
          <w:rFonts w:eastAsia="楷体_GB2312" w:hint="eastAsia" w:ascii="楷体_GB2312" w:hAnsi="楷体_GB2312"/>
          <w:sz w:val="32"/>
          <w:szCs w:val="32"/>
        </w:rPr>
        <w:t>2005</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日辽宁省第十届人民代表大会常务委员会第二十二次会议批准  根据</w:t>
      </w:r>
      <w:r>
        <w:rPr>
          <w:rFonts w:eastAsia="楷体_GB2312" w:cs="宋体" w:hint="eastAsia" w:ascii="楷体_GB2312" w:hAnsi="楷体_GB2312"/>
          <w:kern w:val="2"/>
          <w:sz w:val="32"/>
          <w:szCs w:val="32"/>
        </w:rPr>
        <w:t>2020</w:t>
      </w:r>
      <w:r>
        <w:rPr>
          <w:rFonts w:ascii="楷体_GB2312" w:hAnsi="楷体_GB2312" w:cs="宋体" w:hint="eastAsia" w:eastAsia="楷体_GB2312"/>
          <w:kern w:val="2"/>
          <w:sz w:val="32"/>
          <w:szCs w:val="32"/>
        </w:rPr>
        <w:t>年</w:t>
      </w:r>
      <w:r>
        <w:rPr>
          <w:rFonts w:eastAsia="楷体_GB2312" w:cs="宋体" w:hint="eastAsia" w:ascii="楷体_GB2312" w:hAnsi="楷体_GB2312"/>
          <w:kern w:val="2"/>
          <w:sz w:val="32"/>
          <w:szCs w:val="32"/>
        </w:rPr>
        <w:t>5</w:t>
      </w:r>
      <w:r>
        <w:rPr>
          <w:rFonts w:ascii="楷体_GB2312" w:hAnsi="楷体_GB2312" w:cs="宋体" w:hint="eastAsia" w:eastAsia="楷体_GB2312"/>
          <w:kern w:val="2"/>
          <w:sz w:val="32"/>
          <w:szCs w:val="32"/>
        </w:rPr>
        <w:t>月</w:t>
      </w:r>
      <w:r>
        <w:rPr>
          <w:rFonts w:eastAsia="楷体_GB2312" w:cs="宋体" w:hint="eastAsia" w:ascii="楷体_GB2312" w:hAnsi="楷体_GB2312"/>
          <w:kern w:val="2"/>
          <w:sz w:val="32"/>
          <w:szCs w:val="32"/>
        </w:rPr>
        <w:t>15</w:t>
      </w:r>
      <w:r>
        <w:rPr>
          <w:rFonts w:ascii="楷体_GB2312" w:hAnsi="楷体_GB2312" w:cs="宋体" w:hint="eastAsia" w:eastAsia="楷体_GB2312"/>
          <w:kern w:val="2"/>
          <w:sz w:val="32"/>
          <w:szCs w:val="32"/>
        </w:rPr>
        <w:t>日</w:t>
      </w:r>
      <w:r>
        <w:rPr>
          <w:rFonts w:ascii="楷体_GB2312" w:hAnsi="楷体_GB2312" w:cs="宋体" w:hint="eastAsia" w:eastAsia="楷体_GB2312"/>
          <w:kern w:val="0"/>
          <w:sz w:val="32"/>
          <w:szCs w:val="32"/>
        </w:rPr>
        <w:t>本溪市第十六届人民代表大会常务委员会第二十一次会议</w:t>
      </w:r>
      <w:r>
        <w:rPr>
          <w:rFonts w:ascii="楷体_GB2312" w:hAnsi="楷体_GB2312" w:cs="宋体" w:hint="eastAsia" w:eastAsia="楷体_GB2312"/>
          <w:kern w:val="2"/>
          <w:sz w:val="32"/>
          <w:szCs w:val="32"/>
        </w:rPr>
        <w:t xml:space="preserve">通过  </w:t>
      </w:r>
      <w:r>
        <w:rPr>
          <w:rFonts w:eastAsia="楷体_GB2312" w:hint="eastAsia" w:ascii="楷体_GB2312" w:hAnsi="楷体_GB2312"/>
          <w:sz w:val="32"/>
          <w:szCs w:val="32"/>
        </w:rPr>
        <w:t>2020</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5</w:t>
      </w:r>
      <w:r>
        <w:rPr>
          <w:rFonts w:ascii="楷体_GB2312" w:hAnsi="楷体_GB2312" w:hint="eastAsia" w:eastAsia="楷体_GB2312"/>
          <w:sz w:val="32"/>
          <w:szCs w:val="32"/>
        </w:rPr>
        <w:t>日辽宁省第十三届人民代表大会常务委员会第二十次会议批准</w:t>
      </w:r>
      <w:r>
        <w:rPr>
          <w:rFonts w:ascii="楷体_GB2312" w:hAnsi="楷体_GB2312" w:cs="仿宋" w:hint="eastAsia" w:eastAsia="楷体_GB2312"/>
          <w:sz w:val="32"/>
          <w:szCs w:val="32"/>
        </w:rPr>
        <w:t>《本溪市人民代表大会常务委员会关于废止和修改部分地方性法规的决定》修改</w:t>
      </w:r>
      <w:r>
        <w:rPr>
          <w:rFonts w:ascii="楷体_GB2312" w:hAnsi="楷体_GB2312" w:hint="eastAsia" w:eastAsia="楷体_GB2312"/>
          <w:sz w:val="32"/>
          <w:szCs w:val="32"/>
        </w:rPr>
        <w:t>）</w:t>
      </w:r>
    </w:p>
    <w:p>
      <w:pPr>
        <w:pStyle w:val="TOC1"/>
        <w:tabs>
          <w:tab w:val="clear" w:pos="420"/>
          <w:tab w:val="right" w:pos="8844" w:leader="none"/>
        </w:tabs>
        <w:rPr>
          <w:rFonts w:ascii="宋体" w:hAnsi="宋体" w:eastAsia="宋体" w:cs="仿宋" w:hint="eastAsia"/>
          <w:kern w:val="0"/>
          <w:sz w:val="32"/>
          <w:szCs w:val="32"/>
        </w:rPr>
      </w:pPr>
      <w:r>
        <w:rPr>
          <w:rFonts w:eastAsia="宋体" w:cs="仿宋" w:hint="eastAsia" w:ascii="宋体" w:hAnsi="宋体"/>
          <w:kern w:val="0"/>
          <w:sz w:val="32"/>
          <w:szCs w:val="32"/>
        </w:rPr>
      </w:r>
    </w:p>
    <w:p>
      <w:pPr>
        <w:pStyle w:val="TOC1"/>
        <w:tabs>
          <w:tab w:val="clear" w:pos="420"/>
          <w:tab w:val="right" w:pos="8844" w:leader="none"/>
        </w:tabs>
        <w:jc w:val="center"/>
        <w:rPr>
          <w:rFonts w:ascii="楷体_GB2312" w:hAnsi="楷体_GB2312" w:eastAsia="楷体_GB2312" w:cs="楷体" w:hint="eastAsia"/>
          <w:szCs w:val="32"/>
        </w:rPr>
      </w:pPr>
      <w:r>
        <w:rPr>
          <w:rFonts w:ascii="楷体_GB2312" w:hAnsi="楷体_GB2312" w:cs="楷体" w:hint="eastAsia" w:eastAsia="楷体_GB2312"/>
          <w:szCs w:val="32"/>
        </w:rPr>
        <w:t>目    录</w:t>
      </w:r>
    </w:p>
    <w:p>
      <w:pPr>
        <w:pStyle w:val="TOC1"/>
        <w:tabs>
          <w:tab w:val="clear" w:pos="420"/>
          <w:tab w:val="right" w:pos="8844" w:leader="none"/>
        </w:tabs>
        <w:rPr>
          <w:rFonts w:ascii="楷体_GB2312" w:hAnsi="楷体_GB2312" w:eastAsia="楷体_GB2312" w:cs="仿宋" w:hint="eastAsia"/>
          <w:szCs w:val="32"/>
        </w:rPr>
      </w:pPr>
      <w:r>
        <w:rPr>
          <w:rFonts w:eastAsia="楷体_GB2312" w:cs="仿宋" w:hint="eastAsia" w:ascii="楷体_GB2312" w:hAnsi="楷体_GB2312"/>
          <w:szCs w:val="32"/>
        </w:rPr>
      </w:r>
    </w:p>
    <w:sdt>
      <w:sdtPr>
        <w:docPartObj>
          <w:docPartGallery w:val="Table of Contents"/>
          <w:docPartUnique w:val="true"/>
        </w:docPartObj>
      </w:sdtPr>
      <w:sdtContent>
        <w:p>
          <w:pPr>
            <w:pStyle w:val="TOC1"/>
            <w:tabs>
              <w:tab w:val="clear" w:pos="420"/>
              <w:tab w:val="right" w:pos="8844" w:leader="none"/>
            </w:tabs>
            <w:ind w:firstLineChars="0" w:firstLine="0" w:endChars="0" w:end="0"/>
            <w:rPr>
              <w:rFonts w:ascii="楷体_GB2312" w:hAnsi="楷体_GB2312" w:eastAsia="楷体_GB2312" w:cs="楷体" w:hint="eastAsia"/>
              <w:szCs w:val="32"/>
            </w:rPr>
          </w:pPr>
          <w:r>
            <w:fldChar w:fldCharType="begin"/>
          </w:r>
          <w:r>
            <w:rPr>
              <w:rStyle w:val="IndexLink"/>
              <w:rFonts w:ascii="楷体_GB2312" w:hAnsi="楷体_GB2312" w:cs="楷体" w:hint="eastAsia" w:eastAsia="楷体_GB2312"/>
              <w:szCs w:val="32"/>
            </w:rPr>
            <w:instrText xml:space="preserve">TOC \o "1-1" \n  \h \u </w:instrText>
          </w:r>
          <w:r>
            <w:rPr>
              <w:rStyle w:val="IndexLink"/>
              <w:rFonts w:ascii="楷体_GB2312" w:hAnsi="楷体_GB2312" w:cs="楷体" w:hint="eastAsia" w:eastAsia="楷体_GB2312"/>
              <w:szCs w:val="32"/>
            </w:rPr>
            <w:fldChar w:fldCharType="separate"/>
          </w:r>
          <w:hyperlink w:anchor="__RefHeading___Toc30725">
            <w:r>
              <w:rPr>
                <w:rStyle w:val="IndexLink"/>
                <w:rFonts w:ascii="楷体_GB2312" w:hAnsi="楷体_GB2312" w:cs="楷体" w:hint="eastAsia" w:eastAsia="楷体_GB2312"/>
                <w:szCs w:val="32"/>
              </w:rPr>
              <w:t>第一章  总则</w:t>
            </w:r>
          </w:hyperlink>
        </w:p>
        <w:p>
          <w:pPr>
            <w:pStyle w:val="TOC1"/>
            <w:tabs>
              <w:tab w:val="clear" w:pos="420"/>
              <w:tab w:val="right" w:pos="8844" w:leader="none"/>
            </w:tabs>
            <w:ind w:firstLineChars="0" w:firstLine="0" w:endChars="0" w:end="0"/>
            <w:rPr>
              <w:rFonts w:ascii="楷体_GB2312" w:hAnsi="楷体_GB2312" w:eastAsia="楷体_GB2312" w:cs="楷体" w:hint="eastAsia"/>
              <w:szCs w:val="32"/>
            </w:rPr>
          </w:pPr>
          <w:hyperlink w:anchor="__RefHeading___Toc12327">
            <w:r>
              <w:rPr>
                <w:rStyle w:val="IndexLink"/>
                <w:rFonts w:ascii="楷体_GB2312" w:hAnsi="楷体_GB2312" w:cs="楷体" w:hint="eastAsia" w:eastAsia="楷体_GB2312"/>
                <w:szCs w:val="32"/>
              </w:rPr>
              <w:t>第二章  缴存</w:t>
            </w:r>
          </w:hyperlink>
        </w:p>
        <w:p>
          <w:pPr>
            <w:pStyle w:val="TOC1"/>
            <w:tabs>
              <w:tab w:val="clear" w:pos="420"/>
              <w:tab w:val="right" w:pos="8844" w:leader="none"/>
            </w:tabs>
            <w:ind w:firstLineChars="0" w:firstLine="0" w:endChars="0" w:end="0"/>
            <w:rPr>
              <w:rFonts w:ascii="楷体_GB2312" w:hAnsi="楷体_GB2312" w:eastAsia="楷体_GB2312" w:cs="楷体" w:hint="eastAsia"/>
              <w:szCs w:val="32"/>
            </w:rPr>
          </w:pPr>
          <w:hyperlink w:anchor="__RefHeading___Toc18944">
            <w:r>
              <w:rPr>
                <w:rStyle w:val="IndexLink"/>
                <w:rFonts w:ascii="楷体_GB2312" w:hAnsi="楷体_GB2312" w:cs="楷体" w:hint="eastAsia" w:eastAsia="楷体_GB2312"/>
                <w:szCs w:val="32"/>
              </w:rPr>
              <w:t>第三章  转移和封存</w:t>
            </w:r>
          </w:hyperlink>
        </w:p>
        <w:p>
          <w:pPr>
            <w:pStyle w:val="TOC1"/>
            <w:tabs>
              <w:tab w:val="clear" w:pos="420"/>
              <w:tab w:val="right" w:pos="8844" w:leader="none"/>
            </w:tabs>
            <w:ind w:firstLineChars="0" w:firstLine="0" w:endChars="0" w:end="0"/>
            <w:rPr>
              <w:rFonts w:ascii="楷体_GB2312" w:hAnsi="楷体_GB2312" w:eastAsia="楷体_GB2312" w:cs="楷体" w:hint="eastAsia"/>
              <w:szCs w:val="32"/>
            </w:rPr>
          </w:pPr>
          <w:hyperlink w:anchor="__RefHeading___Toc20396">
            <w:r>
              <w:rPr>
                <w:rStyle w:val="IndexLink"/>
                <w:rFonts w:ascii="楷体_GB2312" w:hAnsi="楷体_GB2312" w:cs="楷体" w:hint="eastAsia" w:eastAsia="楷体_GB2312"/>
                <w:szCs w:val="32"/>
              </w:rPr>
              <w:t>第四章  提取和使用</w:t>
            </w:r>
          </w:hyperlink>
        </w:p>
        <w:p>
          <w:pPr>
            <w:pStyle w:val="TOC1"/>
            <w:tabs>
              <w:tab w:val="clear" w:pos="420"/>
              <w:tab w:val="right" w:pos="8844" w:leader="none"/>
            </w:tabs>
            <w:ind w:firstLineChars="0" w:firstLine="0" w:endChars="0" w:end="0"/>
            <w:rPr>
              <w:rFonts w:ascii="楷体_GB2312" w:hAnsi="楷体_GB2312" w:eastAsia="楷体_GB2312" w:cs="楷体" w:hint="eastAsia"/>
              <w:szCs w:val="32"/>
            </w:rPr>
          </w:pPr>
          <w:hyperlink w:anchor="__RefHeading___Toc14131">
            <w:r>
              <w:rPr>
                <w:rStyle w:val="IndexLink"/>
                <w:rFonts w:ascii="楷体_GB2312" w:hAnsi="楷体_GB2312" w:cs="楷体" w:hint="eastAsia" w:eastAsia="楷体_GB2312"/>
                <w:szCs w:val="32"/>
              </w:rPr>
              <w:t>第五章  监督检查</w:t>
            </w:r>
          </w:hyperlink>
        </w:p>
        <w:p>
          <w:pPr>
            <w:pStyle w:val="TOC1"/>
            <w:tabs>
              <w:tab w:val="clear" w:pos="420"/>
              <w:tab w:val="right" w:pos="8844" w:leader="none"/>
            </w:tabs>
            <w:ind w:firstLineChars="0" w:firstLine="0" w:endChars="0" w:end="0"/>
            <w:rPr>
              <w:rFonts w:ascii="楷体_GB2312" w:hAnsi="楷体_GB2312" w:eastAsia="楷体_GB2312" w:cs="楷体" w:hint="eastAsia"/>
              <w:szCs w:val="32"/>
            </w:rPr>
          </w:pPr>
          <w:hyperlink w:anchor="__RefHeading___Toc106">
            <w:r>
              <w:rPr>
                <w:rStyle w:val="IndexLink"/>
                <w:rFonts w:ascii="楷体_GB2312" w:hAnsi="楷体_GB2312" w:cs="楷体" w:hint="eastAsia" w:eastAsia="楷体_GB2312"/>
                <w:szCs w:val="32"/>
              </w:rPr>
              <w:t>第六章  法律责任</w:t>
            </w:r>
          </w:hyperlink>
        </w:p>
        <w:p>
          <w:pPr>
            <w:pStyle w:val="TOC1"/>
            <w:tabs>
              <w:tab w:val="clear" w:pos="420"/>
              <w:tab w:val="right" w:pos="8844" w:leader="none"/>
            </w:tabs>
            <w:rPr>
              <w:rFonts w:ascii="楷体_GB2312" w:hAnsi="楷体_GB2312" w:eastAsia="楷体_GB2312" w:cs="仿宋" w:hint="eastAsia"/>
              <w:szCs w:val="32"/>
            </w:rPr>
          </w:pPr>
          <w:hyperlink w:anchor="__RefHeading___Toc10509">
            <w:r>
              <w:rPr>
                <w:rStyle w:val="IndexLink"/>
                <w:rFonts w:ascii="楷体_GB2312" w:hAnsi="楷体_GB2312" w:cs="楷体" w:hint="eastAsia" w:eastAsia="楷体_GB2312"/>
                <w:szCs w:val="32"/>
              </w:rPr>
              <w:t>第七章  附则</w:t>
            </w:r>
          </w:hyperlink>
          <w:r>
            <w:rPr>
              <w:rStyle w:val="IndexLink"/>
              <w:rFonts w:ascii="楷体_GB2312" w:hAnsi="楷体_GB2312" w:cs="楷体" w:hint="eastAsia" w:eastAsia="楷体_GB2312"/>
              <w:szCs w:val="32"/>
            </w:rPr>
            <w:fldChar w:fldCharType="end"/>
          </w:r>
        </w:p>
      </w:sdtContent>
    </w:sdt>
    <w:p>
      <w:pPr>
        <w:pStyle w:val="Heading1"/>
        <w:ind w:firstLineChars="200" w:startChars="0" w:start="0" w:endChars="0" w:end="0"/>
        <w:rPr>
          <w:rFonts w:ascii="宋体" w:hAnsi="宋体" w:eastAsia="宋体" w:cs="仿宋" w:hint="eastAsia"/>
          <w:szCs w:val="32"/>
        </w:rPr>
      </w:pPr>
      <w:r>
        <w:rPr>
          <w:rFonts w:eastAsia="宋体" w:cs="仿宋" w:hint="eastAsia" w:ascii="宋体" w:hAnsi="宋体"/>
          <w:szCs w:val="32"/>
        </w:rPr>
      </w:r>
      <w:bookmarkStart w:id="1" w:name="__RefHeading___Toc30725"/>
    </w:p>
    <w:p>
      <w:pPr>
        <w:pStyle w:val="Heading1"/>
        <w:ind w:firstLineChars="0" w:firstLine="0" w:startChars="0" w:start="0" w:endChars="0" w:end="0"/>
        <w:jc w:val="center"/>
        <w:rPr/>
      </w:pPr>
      <w:r>
        <w:rPr>
          <w:rFonts w:hint="eastAsia"/>
        </w:rPr>
        <w:t>第一章</w:t>
      </w:r>
      <w:r>
        <w:rPr/>
        <w:t xml:space="preserve">  </w:t>
      </w:r>
      <w:r>
        <w:rPr>
          <w:rFonts w:hint="eastAsia"/>
        </w:rPr>
        <w:t>总则</w:t>
      </w:r>
      <w:bookmarkEnd w:id="1"/>
    </w:p>
    <w:p>
      <w:pPr>
        <w:pStyle w:val="Normal"/>
        <w:spacing w:lineRule="exact" w:line="560"/>
        <w:ind w:firstLineChars="200" w:startChars="0" w:start="0" w:endChars="0" w:end="0"/>
        <w:rPr>
          <w:rFonts w:ascii="宋体" w:hAnsi="宋体" w:cs="黑体"/>
          <w:sz w:val="32"/>
          <w:szCs w:val="32"/>
        </w:rPr>
      </w:pPr>
      <w:r>
        <w:rPr>
          <w:rFonts w:cs="黑体" w:ascii="宋体" w:hAnsi="宋体"/>
          <w:sz w:val="32"/>
          <w:szCs w:val="32"/>
        </w:rPr>
      </w:r>
    </w:p>
    <w:p>
      <w:pPr>
        <w:pStyle w:val="Normal"/>
        <w:spacing w:lineRule="exact" w:line="560"/>
        <w:ind w:firstLineChars="200" w:startChars="0" w:start="0" w:endChars="0" w:end="0"/>
        <w:rPr>
          <w:rFonts w:ascii="仿宋" w:hAnsi="仿宋" w:eastAsia="仿宋" w:cs="仿宋"/>
          <w:sz w:val="32"/>
          <w:szCs w:val="32"/>
        </w:rPr>
      </w:pPr>
      <w:r>
        <w:rPr>
          <w:rFonts w:ascii="黑体" w:hAnsi="黑体" w:cs="黑体" w:hint="eastAsia" w:eastAsia="黑体"/>
          <w:sz w:val="32"/>
          <w:szCs w:val="32"/>
        </w:rPr>
        <w:t>第一条</w:t>
      </w:r>
      <w:r>
        <w:rPr>
          <w:rFonts w:ascii="仿宋" w:hAnsi="仿宋" w:cs="仿宋" w:eastAsia="仿宋"/>
          <w:sz w:val="32"/>
          <w:szCs w:val="32"/>
        </w:rPr>
        <w:t xml:space="preserve">  </w:t>
      </w:r>
      <w:r>
        <w:rPr>
          <w:rFonts w:ascii="仿宋_GB2312" w:hAnsi="仿宋_GB2312" w:cs="仿宋" w:hint="eastAsia" w:eastAsia="仿宋_GB2312"/>
          <w:sz w:val="32"/>
          <w:szCs w:val="32"/>
        </w:rPr>
        <w:t>为加强住房公积金的管理，维护住房公积金所有者的合法权益，提高居民的居住水平，根据国家有关行政法规的规定，结合本市实际，制定本条例。</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第二条</w:t>
      </w:r>
      <w:r>
        <w:rPr>
          <w:rFonts w:ascii="黑体" w:hAnsi="黑体" w:cs="黑体" w:eastAsia="黑体"/>
          <w:sz w:val="32"/>
          <w:szCs w:val="32"/>
        </w:rPr>
        <w:t xml:space="preserve"> </w:t>
      </w:r>
      <w:r>
        <w:rPr>
          <w:rFonts w:ascii="仿宋" w:hAnsi="仿宋" w:cs="仿宋" w:eastAsia="仿宋"/>
          <w:sz w:val="32"/>
          <w:szCs w:val="32"/>
        </w:rPr>
        <w:t xml:space="preserve"> </w:t>
      </w:r>
      <w:r>
        <w:rPr>
          <w:rFonts w:ascii="仿宋_GB2312" w:hAnsi="仿宋_GB2312" w:cs="仿宋" w:hint="eastAsia" w:eastAsia="仿宋_GB2312"/>
          <w:sz w:val="32"/>
          <w:szCs w:val="32"/>
        </w:rPr>
        <w:t>本条例适用于本市行政区域内住房公积金的缴存、提取、使用、管理和监督。</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本条例所称住房公积金，是指在职职工个人及其所在单位，按职工工资收入一定比例缴存的具有保障性和互助性的职工个人长期住房储金。</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第三条</w:t>
      </w:r>
      <w:r>
        <w:rPr>
          <w:rFonts w:ascii="仿宋" w:hAnsi="仿宋" w:cs="仿宋" w:eastAsia="仿宋"/>
          <w:sz w:val="32"/>
          <w:szCs w:val="32"/>
        </w:rPr>
        <w:t xml:space="preserve">  </w:t>
      </w:r>
      <w:r>
        <w:rPr>
          <w:rFonts w:ascii="仿宋_GB2312" w:hAnsi="仿宋_GB2312" w:cs="仿宋" w:hint="eastAsia" w:eastAsia="仿宋_GB2312"/>
          <w:sz w:val="32"/>
          <w:szCs w:val="32"/>
        </w:rPr>
        <w:t>住房公积金实行属地化管理。</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国家机关、国有企业、城镇集体企业、外商和港澳台投资企业、城镇私营企业及其他城镇企业、事业单位、民办非企业单位、社会团体（以下统称单位）及其中方在职职工均应当按照本条例规定缴存住房公积金。</w:t>
      </w:r>
    </w:p>
    <w:p>
      <w:pPr>
        <w:pStyle w:val="Normal"/>
        <w:spacing w:lineRule="exact" w:line="560"/>
        <w:ind w:firstLineChars="200" w:startChars="0" w:start="0" w:endChars="0" w:end="0"/>
        <w:rPr>
          <w:rFonts w:ascii="仿宋" w:hAnsi="仿宋" w:eastAsia="仿宋" w:cs="仿宋"/>
          <w:sz w:val="32"/>
          <w:szCs w:val="32"/>
        </w:rPr>
      </w:pPr>
      <w:r>
        <w:rPr>
          <w:rFonts w:ascii="仿宋_GB2312" w:hAnsi="仿宋_GB2312" w:cs="仿宋" w:hint="eastAsia" w:eastAsia="仿宋_GB2312"/>
          <w:sz w:val="32"/>
          <w:szCs w:val="32"/>
        </w:rPr>
        <w:t>职工个人缴存的住房公积金和职工所在单位为职工缴存的住房公积金属于职工个人所有，任何单位和个人不得挪用。</w:t>
      </w:r>
    </w:p>
    <w:p>
      <w:pPr>
        <w:pStyle w:val="Normal"/>
        <w:spacing w:lineRule="exact" w:line="560"/>
        <w:ind w:firstLineChars="200" w:startChars="0" w:start="0" w:endChars="0" w:end="0"/>
        <w:rPr>
          <w:rFonts w:ascii="仿宋" w:hAnsi="仿宋" w:eastAsia="仿宋" w:cs="仿宋"/>
          <w:sz w:val="32"/>
          <w:szCs w:val="32"/>
        </w:rPr>
      </w:pPr>
      <w:r>
        <w:rPr>
          <w:rFonts w:ascii="黑体" w:hAnsi="黑体" w:cs="黑体" w:hint="eastAsia" w:eastAsia="黑体"/>
          <w:sz w:val="32"/>
          <w:szCs w:val="32"/>
        </w:rPr>
        <w:t>第四条</w:t>
      </w:r>
      <w:r>
        <w:rPr>
          <w:rFonts w:ascii="仿宋" w:hAnsi="仿宋" w:cs="仿宋" w:eastAsia="仿宋"/>
          <w:sz w:val="32"/>
          <w:szCs w:val="32"/>
        </w:rPr>
        <w:t xml:space="preserve">  </w:t>
      </w:r>
      <w:r>
        <w:rPr>
          <w:rFonts w:ascii="仿宋_GB2312" w:hAnsi="仿宋_GB2312" w:cs="仿宋" w:hint="eastAsia" w:eastAsia="仿宋_GB2312"/>
          <w:sz w:val="32"/>
          <w:szCs w:val="32"/>
        </w:rPr>
        <w:t>市住房公积金管理委员会（以下简称管委会）是住房公积金管理的决策机构。市住房公积金管理中心（以下简称管理中心）负责全市住房公积金的管理运作。</w:t>
      </w:r>
    </w:p>
    <w:p>
      <w:pPr>
        <w:pStyle w:val="Normal"/>
        <w:spacing w:lineRule="exact" w:line="560"/>
        <w:ind w:firstLineChars="200" w:startChars="0" w:start="0" w:endChars="0" w:end="0"/>
        <w:rPr>
          <w:rFonts w:ascii="仿宋" w:hAnsi="仿宋" w:eastAsia="仿宋" w:cs="仿宋"/>
          <w:sz w:val="32"/>
          <w:szCs w:val="32"/>
        </w:rPr>
      </w:pPr>
      <w:r>
        <w:rPr>
          <w:rFonts w:ascii="黑体" w:hAnsi="黑体" w:cs="黑体" w:hint="eastAsia" w:eastAsia="黑体"/>
          <w:sz w:val="32"/>
          <w:szCs w:val="32"/>
        </w:rPr>
        <w:t>第五条</w:t>
      </w:r>
      <w:r>
        <w:rPr>
          <w:rFonts w:ascii="黑体" w:hAnsi="黑体" w:cs="黑体" w:eastAsia="黑体"/>
          <w:sz w:val="32"/>
          <w:szCs w:val="32"/>
        </w:rPr>
        <w:t xml:space="preserve"> </w:t>
      </w:r>
      <w:r>
        <w:rPr>
          <w:rFonts w:ascii="仿宋" w:hAnsi="仿宋" w:cs="仿宋" w:eastAsia="仿宋"/>
          <w:sz w:val="32"/>
          <w:szCs w:val="32"/>
        </w:rPr>
        <w:t xml:space="preserve"> </w:t>
      </w:r>
      <w:r>
        <w:rPr>
          <w:rFonts w:ascii="仿宋_GB2312" w:hAnsi="仿宋_GB2312" w:cs="仿宋" w:hint="eastAsia" w:eastAsia="仿宋_GB2312"/>
          <w:sz w:val="32"/>
          <w:szCs w:val="32"/>
        </w:rPr>
        <w:t>住房公积金实行管委会决策、管理中心运作、银行专户存储、财政监督的原则。</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第六条</w:t>
      </w:r>
      <w:r>
        <w:rPr>
          <w:rFonts w:ascii="黑体" w:hAnsi="黑体" w:cs="黑体" w:eastAsia="黑体"/>
          <w:sz w:val="32"/>
          <w:szCs w:val="32"/>
        </w:rPr>
        <w:t xml:space="preserve"> </w:t>
      </w:r>
      <w:r>
        <w:rPr>
          <w:rFonts w:ascii="仿宋" w:hAnsi="仿宋" w:cs="仿宋" w:eastAsia="仿宋"/>
          <w:sz w:val="32"/>
          <w:szCs w:val="32"/>
        </w:rPr>
        <w:t xml:space="preserve"> </w:t>
      </w:r>
      <w:r>
        <w:rPr>
          <w:rFonts w:ascii="仿宋_GB2312" w:hAnsi="仿宋_GB2312" w:cs="仿宋" w:hint="eastAsia" w:eastAsia="仿宋_GB2312"/>
          <w:sz w:val="32"/>
          <w:szCs w:val="32"/>
        </w:rPr>
        <w:t>管委会依据有关法律、法规和政策履行下列职责：</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（一）制定和调整住房公积金管理措施并监督实施；</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（二）拟订住房公积金的具体缴存比例；</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（三）确定住房公积金贷款的最高额度和最长期限；</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（四）审批住房公积金归集、使用计划；</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（五）审议住房公积金增值收益分配方案；</w:t>
      </w:r>
    </w:p>
    <w:p>
      <w:pPr>
        <w:pStyle w:val="Normal"/>
        <w:spacing w:lineRule="exact" w:line="560"/>
        <w:ind w:firstLineChars="200" w:startChars="0" w:start="0" w:endChars="0" w:end="0"/>
        <w:rPr>
          <w:rFonts w:ascii="仿宋" w:hAnsi="仿宋" w:eastAsia="仿宋" w:cs="仿宋"/>
          <w:sz w:val="32"/>
          <w:szCs w:val="32"/>
        </w:rPr>
      </w:pPr>
      <w:r>
        <w:rPr>
          <w:rFonts w:ascii="仿宋_GB2312" w:hAnsi="仿宋_GB2312" w:cs="仿宋" w:hint="eastAsia" w:eastAsia="仿宋_GB2312"/>
          <w:sz w:val="32"/>
          <w:szCs w:val="32"/>
        </w:rPr>
        <w:t>（六）审批住房公积金归集、使用计划执行情况的报告</w:t>
      </w:r>
      <w:r>
        <w:rPr>
          <w:rFonts w:ascii="仿宋" w:hAnsi="仿宋" w:cs="仿宋" w:hint="eastAsia" w:eastAsia="仿宋"/>
          <w:sz w:val="32"/>
          <w:szCs w:val="32"/>
        </w:rPr>
        <w:t>。</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第七条</w:t>
      </w:r>
      <w:r>
        <w:rPr>
          <w:rFonts w:ascii="仿宋" w:hAnsi="仿宋" w:cs="仿宋" w:eastAsia="仿宋"/>
          <w:sz w:val="32"/>
          <w:szCs w:val="32"/>
        </w:rPr>
        <w:t xml:space="preserve">  </w:t>
      </w:r>
      <w:r>
        <w:rPr>
          <w:rFonts w:ascii="仿宋_GB2312" w:hAnsi="仿宋_GB2312" w:cs="仿宋" w:hint="eastAsia" w:eastAsia="仿宋_GB2312"/>
          <w:sz w:val="32"/>
          <w:szCs w:val="32"/>
        </w:rPr>
        <w:t>管理中心履行下列职责：</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（一）编制、执行住房公积金的归集、使用计划；</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（二）负责记载职工住房公积金的缴存、提取、使用等情况；</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（三）负责住房公积金的核算；</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（四）审批住房公积金的提取、使用；</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（五）负责住房公积金的保值和归还；</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（六）编制住房公积金归集、使用计划执行情况的报告；</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（七）承办管委会决定的其他事项。</w:t>
      </w:r>
    </w:p>
    <w:p>
      <w:pPr>
        <w:pStyle w:val="Normal"/>
        <w:spacing w:lineRule="exact" w:line="560"/>
        <w:ind w:firstLineChars="200" w:startChars="0" w:start="0" w:endChars="0" w:end="0"/>
        <w:rPr>
          <w:rFonts w:ascii="仿宋" w:hAnsi="仿宋" w:eastAsia="仿宋" w:cs="仿宋"/>
          <w:sz w:val="32"/>
          <w:szCs w:val="32"/>
        </w:rPr>
      </w:pPr>
      <w:r>
        <w:rPr>
          <w:rFonts w:ascii="黑体" w:hAnsi="黑体" w:cs="黑体" w:hint="eastAsia" w:eastAsia="黑体"/>
          <w:sz w:val="32"/>
          <w:szCs w:val="32"/>
        </w:rPr>
        <w:t>第八条</w:t>
      </w:r>
      <w:r>
        <w:rPr>
          <w:rFonts w:ascii="黑体" w:hAnsi="黑体" w:cs="黑体" w:eastAsia="黑体"/>
          <w:sz w:val="32"/>
          <w:szCs w:val="32"/>
        </w:rPr>
        <w:t xml:space="preserve"> </w:t>
      </w:r>
      <w:r>
        <w:rPr>
          <w:rFonts w:ascii="仿宋" w:hAnsi="仿宋" w:cs="仿宋" w:eastAsia="仿宋"/>
          <w:sz w:val="32"/>
          <w:szCs w:val="32"/>
        </w:rPr>
        <w:t xml:space="preserve"> </w:t>
      </w:r>
      <w:r>
        <w:rPr>
          <w:rFonts w:ascii="仿宋_GB2312" w:hAnsi="仿宋_GB2312" w:cs="仿宋" w:hint="eastAsia" w:eastAsia="仿宋_GB2312"/>
          <w:sz w:val="32"/>
          <w:szCs w:val="32"/>
        </w:rPr>
        <w:t>管委会应按照中国人民银行的有关规定指定受委托的商业银行办理住房公积金贷款、结算等金融业务，并由管理中心与受委托银行签订委托合同。</w:t>
      </w:r>
    </w:p>
    <w:p>
      <w:pPr>
        <w:pStyle w:val="Heading1"/>
        <w:ind w:hanging="0" w:start="0"/>
        <w:rPr>
          <w:rFonts w:ascii="宋体" w:hAnsi="宋体" w:eastAsia="宋体" w:cs="宋体"/>
          <w:sz w:val="32"/>
          <w:szCs w:val="32"/>
        </w:rPr>
      </w:pPr>
      <w:r>
        <w:rPr>
          <w:rFonts w:eastAsia="宋体" w:cs="宋体" w:ascii="宋体" w:hAnsi="宋体"/>
          <w:sz w:val="32"/>
          <w:szCs w:val="32"/>
        </w:rPr>
      </w:r>
      <w:bookmarkStart w:id="2" w:name="__RefHeading___Toc12327"/>
    </w:p>
    <w:p>
      <w:pPr>
        <w:pStyle w:val="Heading1"/>
        <w:ind w:hanging="0" w:start="0"/>
        <w:rPr/>
      </w:pPr>
      <w:r>
        <w:rPr>
          <w:rFonts w:hint="eastAsia"/>
        </w:rPr>
        <w:t>第二章</w:t>
      </w:r>
      <w:r>
        <w:rPr/>
        <w:t xml:space="preserve">  </w:t>
      </w:r>
      <w:r>
        <w:rPr>
          <w:rFonts w:hint="eastAsia"/>
        </w:rPr>
        <w:t>缴存</w:t>
      </w:r>
      <w:bookmarkEnd w:id="2"/>
    </w:p>
    <w:p>
      <w:pPr>
        <w:pStyle w:val="Normal"/>
        <w:spacing w:lineRule="exact" w:line="560"/>
        <w:ind w:firstLineChars="200" w:startChars="0" w:start="0" w:endChars="0" w:end="0"/>
        <w:rPr>
          <w:rFonts w:ascii="宋体" w:hAnsi="宋体" w:cs="黑体"/>
          <w:sz w:val="32"/>
          <w:szCs w:val="32"/>
        </w:rPr>
      </w:pPr>
      <w:r>
        <w:rPr>
          <w:rFonts w:cs="黑体" w:ascii="宋体" w:hAnsi="宋体"/>
          <w:sz w:val="32"/>
          <w:szCs w:val="32"/>
        </w:rPr>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第九条</w:t>
      </w:r>
      <w:r>
        <w:rPr>
          <w:rFonts w:ascii="仿宋" w:hAnsi="仿宋" w:cs="仿宋" w:eastAsia="仿宋"/>
          <w:sz w:val="32"/>
          <w:szCs w:val="32"/>
        </w:rPr>
        <w:t xml:space="preserve">  </w:t>
      </w:r>
      <w:r>
        <w:rPr>
          <w:rFonts w:ascii="仿宋_GB2312" w:hAnsi="仿宋_GB2312" w:cs="仿宋" w:hint="eastAsia" w:eastAsia="仿宋_GB2312"/>
          <w:sz w:val="32"/>
          <w:szCs w:val="32"/>
        </w:rPr>
        <w:t>单位必须按规定到管理中心办理住房公积金缴存登记和账户设立手续。新设立的单位应自设立之日起</w:t>
      </w:r>
      <w:r>
        <w:rPr>
          <w:rFonts w:eastAsia="仿宋_GB2312" w:cs="仿宋" w:hint="eastAsia" w:ascii="仿宋_GB2312" w:hAnsi="仿宋_GB2312"/>
          <w:sz w:val="32"/>
          <w:szCs w:val="32"/>
        </w:rPr>
        <w:t>30</w:t>
      </w:r>
      <w:r>
        <w:rPr>
          <w:rFonts w:ascii="仿宋_GB2312" w:hAnsi="仿宋_GB2312" w:cs="仿宋" w:hint="eastAsia" w:eastAsia="仿宋_GB2312"/>
          <w:sz w:val="32"/>
          <w:szCs w:val="32"/>
        </w:rPr>
        <w:t>日内办理缴存登记。</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管理中心应当建立职工住房公积金明细账。每个职工只设一个住房公积金账户。</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第十条</w:t>
      </w:r>
      <w:r>
        <w:rPr>
          <w:rFonts w:ascii="仿宋" w:hAnsi="仿宋" w:cs="仿宋" w:eastAsia="仿宋"/>
          <w:sz w:val="32"/>
          <w:szCs w:val="32"/>
        </w:rPr>
        <w:t xml:space="preserve">  </w:t>
      </w:r>
      <w:r>
        <w:rPr>
          <w:rFonts w:ascii="仿宋_GB2312" w:hAnsi="仿宋_GB2312" w:cs="仿宋" w:hint="eastAsia" w:eastAsia="仿宋_GB2312"/>
          <w:sz w:val="32"/>
          <w:szCs w:val="32"/>
        </w:rPr>
        <w:t>职工和单位应按规定的缴存比例缴存住房公积金。我市职工和单位住房公积金的缴存比例不得低于职工上一年度月平均工资的</w:t>
      </w:r>
      <w:r>
        <w:rPr>
          <w:rFonts w:eastAsia="仿宋_GB2312" w:cs="仿宋" w:hint="eastAsia" w:ascii="仿宋_GB2312" w:hAnsi="仿宋_GB2312"/>
          <w:sz w:val="32"/>
          <w:szCs w:val="32"/>
        </w:rPr>
        <w:t>5</w:t>
      </w:r>
      <w:r>
        <w:rPr>
          <w:rFonts w:ascii="仿宋_GB2312" w:hAnsi="仿宋_GB2312" w:cs="仿宋" w:hint="eastAsia" w:eastAsia="仿宋_GB2312"/>
          <w:sz w:val="32"/>
          <w:szCs w:val="32"/>
        </w:rPr>
        <w:t>％。有条件的单位，经职工代表大会同意，可以申请适当提高单位的住房公积金缴存比例。最高缴存比例按照上级人民政府的规定执行，但必须经管理中心和管委会审核，报省批准。</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黑体" w:hAnsi="黑体" w:cs="黑体" w:eastAsia="黑体"/>
          <w:sz w:val="32"/>
          <w:szCs w:val="32"/>
        </w:rPr>
        <w:t xml:space="preserve"> </w:t>
      </w:r>
      <w:r>
        <w:rPr>
          <w:rFonts w:ascii="仿宋" w:hAnsi="仿宋" w:cs="仿宋" w:eastAsia="仿宋"/>
          <w:sz w:val="32"/>
          <w:szCs w:val="32"/>
        </w:rPr>
        <w:t xml:space="preserve"> </w:t>
      </w:r>
      <w:r>
        <w:rPr>
          <w:rFonts w:ascii="仿宋_GB2312" w:hAnsi="仿宋_GB2312" w:cs="仿宋" w:hint="eastAsia" w:eastAsia="仿宋_GB2312"/>
          <w:sz w:val="32"/>
          <w:szCs w:val="32"/>
        </w:rPr>
        <w:t>缴存住房公积金的职工工资基数，应当按照职工本人上一年度月平均工资计算。超出本市统计部门公布的上一年度职工月平均工资的</w:t>
      </w:r>
      <w:r>
        <w:rPr>
          <w:rFonts w:eastAsia="仿宋_GB2312" w:cs="仿宋" w:hint="eastAsia" w:ascii="仿宋_GB2312" w:hAnsi="仿宋_GB2312"/>
          <w:sz w:val="32"/>
          <w:szCs w:val="32"/>
        </w:rPr>
        <w:t>3</w:t>
      </w:r>
      <w:r>
        <w:rPr>
          <w:rFonts w:ascii="仿宋_GB2312" w:hAnsi="仿宋_GB2312" w:cs="仿宋" w:hint="eastAsia" w:eastAsia="仿宋_GB2312"/>
          <w:sz w:val="32"/>
          <w:szCs w:val="32"/>
        </w:rPr>
        <w:t>倍以上的部分，不计入缴存基数。</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第十二条</w:t>
      </w:r>
      <w:r>
        <w:rPr>
          <w:rFonts w:ascii="仿宋" w:hAnsi="仿宋" w:cs="仿宋" w:eastAsia="仿宋"/>
          <w:sz w:val="32"/>
          <w:szCs w:val="32"/>
        </w:rPr>
        <w:t xml:space="preserve">  </w:t>
      </w:r>
      <w:r>
        <w:rPr>
          <w:rFonts w:ascii="仿宋_GB2312" w:hAnsi="仿宋_GB2312" w:cs="仿宋" w:hint="eastAsia" w:eastAsia="仿宋_GB2312"/>
          <w:sz w:val="32"/>
          <w:szCs w:val="32"/>
        </w:rPr>
        <w:t>职工住房公积金的月缴存额为职工工资基数乘以职工住房公积金缴存比</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例；单位为职工缴存的住房公积金的月缴存额为职工工资基数乘以单位住房公积金缴存比例。</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第十三条</w:t>
      </w:r>
      <w:r>
        <w:rPr>
          <w:rFonts w:ascii="仿宋" w:hAnsi="仿宋" w:cs="仿宋" w:eastAsia="仿宋"/>
          <w:sz w:val="32"/>
          <w:szCs w:val="32"/>
        </w:rPr>
        <w:t xml:space="preserve">  </w:t>
      </w:r>
      <w:r>
        <w:rPr>
          <w:rFonts w:ascii="仿宋_GB2312" w:hAnsi="仿宋_GB2312" w:cs="仿宋" w:hint="eastAsia" w:eastAsia="仿宋_GB2312"/>
          <w:sz w:val="32"/>
          <w:szCs w:val="32"/>
        </w:rPr>
        <w:t>单位录用新职工，应自录用之日起</w:t>
      </w:r>
      <w:r>
        <w:rPr>
          <w:rFonts w:eastAsia="仿宋_GB2312" w:cs="仿宋" w:hint="eastAsia" w:ascii="仿宋_GB2312" w:hAnsi="仿宋_GB2312"/>
          <w:sz w:val="32"/>
          <w:szCs w:val="32"/>
        </w:rPr>
        <w:t>30</w:t>
      </w:r>
      <w:r>
        <w:rPr>
          <w:rFonts w:ascii="仿宋_GB2312" w:hAnsi="仿宋_GB2312" w:cs="仿宋" w:hint="eastAsia" w:eastAsia="仿宋_GB2312"/>
          <w:sz w:val="32"/>
          <w:szCs w:val="32"/>
        </w:rPr>
        <w:t xml:space="preserve">日内到管理中心办理职工住房公积金账户的设立手续，并从起薪当月起缴存住房公积金。  </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第十四条</w:t>
      </w:r>
      <w:r>
        <w:rPr>
          <w:rFonts w:ascii="仿宋" w:hAnsi="仿宋" w:cs="仿宋" w:eastAsia="仿宋"/>
          <w:sz w:val="32"/>
          <w:szCs w:val="32"/>
        </w:rPr>
        <w:t xml:space="preserve">  </w:t>
      </w:r>
      <w:r>
        <w:rPr>
          <w:rFonts w:ascii="仿宋_GB2312" w:hAnsi="仿宋_GB2312" w:cs="仿宋" w:hint="eastAsia" w:eastAsia="仿宋_GB2312"/>
          <w:sz w:val="32"/>
          <w:szCs w:val="32"/>
        </w:rPr>
        <w:t>住房公积金实行按月缴存制度。</w:t>
      </w:r>
    </w:p>
    <w:p>
      <w:pPr>
        <w:pStyle w:val="Normal"/>
        <w:spacing w:lineRule="exact" w:line="560"/>
        <w:ind w:firstLineChars="200" w:startChars="0" w:start="0" w:endChars="0" w:end="0"/>
        <w:rPr>
          <w:rFonts w:ascii="仿宋" w:hAnsi="仿宋" w:eastAsia="仿宋" w:cs="仿宋"/>
          <w:sz w:val="32"/>
          <w:szCs w:val="32"/>
        </w:rPr>
      </w:pPr>
      <w:r>
        <w:rPr>
          <w:rFonts w:ascii="仿宋_GB2312" w:hAnsi="仿宋_GB2312" w:cs="仿宋" w:hint="eastAsia" w:eastAsia="仿宋_GB2312"/>
          <w:sz w:val="32"/>
          <w:szCs w:val="32"/>
        </w:rPr>
        <w:t>单位应于每月发放职工工资之日起</w:t>
      </w:r>
      <w:r>
        <w:rPr>
          <w:rFonts w:eastAsia="仿宋_GB2312" w:cs="仿宋" w:hint="eastAsia" w:ascii="仿宋_GB2312" w:hAnsi="仿宋_GB2312"/>
          <w:sz w:val="32"/>
          <w:szCs w:val="32"/>
        </w:rPr>
        <w:t>5</w:t>
      </w:r>
      <w:r>
        <w:rPr>
          <w:rFonts w:ascii="仿宋_GB2312" w:hAnsi="仿宋_GB2312" w:cs="仿宋" w:hint="eastAsia" w:eastAsia="仿宋_GB2312"/>
          <w:sz w:val="32"/>
          <w:szCs w:val="32"/>
        </w:rPr>
        <w:t>日内将单位缴存的和为职工代缴的住房公积金汇缴到住房公积金专户内，由管理中心计入职工住房公积金账户，不得逾期缴存或者少缴。</w:t>
      </w:r>
    </w:p>
    <w:p>
      <w:pPr>
        <w:pStyle w:val="Normal"/>
        <w:spacing w:lineRule="exact" w:line="560"/>
        <w:ind w:firstLineChars="200" w:startChars="0" w:start="0" w:endChars="0" w:end="0"/>
        <w:rPr>
          <w:rFonts w:ascii="仿宋" w:hAnsi="仿宋" w:eastAsia="仿宋" w:cs="仿宋"/>
          <w:sz w:val="32"/>
          <w:szCs w:val="32"/>
        </w:rPr>
      </w:pPr>
      <w:r>
        <w:rPr>
          <w:rFonts w:ascii="黑体" w:hAnsi="黑体" w:cs="黑体" w:hint="eastAsia" w:eastAsia="黑体"/>
          <w:sz w:val="32"/>
          <w:szCs w:val="32"/>
        </w:rPr>
        <w:t>第十五条</w:t>
      </w:r>
      <w:r>
        <w:rPr>
          <w:rFonts w:ascii="黑体" w:hAnsi="黑体" w:cs="黑体" w:eastAsia="黑体"/>
          <w:sz w:val="32"/>
          <w:szCs w:val="32"/>
        </w:rPr>
        <w:t xml:space="preserve"> </w:t>
      </w:r>
      <w:r>
        <w:rPr>
          <w:rFonts w:ascii="仿宋" w:hAnsi="仿宋" w:cs="仿宋" w:eastAsia="仿宋"/>
          <w:sz w:val="32"/>
          <w:szCs w:val="32"/>
        </w:rPr>
        <w:t xml:space="preserve"> </w:t>
      </w:r>
      <w:r>
        <w:rPr>
          <w:rFonts w:ascii="仿宋_GB2312" w:hAnsi="仿宋_GB2312" w:cs="仿宋" w:hint="eastAsia" w:eastAsia="仿宋_GB2312"/>
          <w:sz w:val="32"/>
          <w:szCs w:val="32"/>
        </w:rPr>
        <w:t>单位连续两年职工月平均工资水平低于本市上一年度月人均工资</w:t>
      </w:r>
      <w:r>
        <w:rPr>
          <w:rFonts w:eastAsia="仿宋_GB2312" w:cs="仿宋" w:hint="eastAsia" w:ascii="仿宋_GB2312" w:hAnsi="仿宋_GB2312"/>
          <w:sz w:val="32"/>
          <w:szCs w:val="32"/>
        </w:rPr>
        <w:t>60</w:t>
      </w:r>
      <w:r>
        <w:rPr>
          <w:rFonts w:ascii="仿宋_GB2312" w:hAnsi="仿宋_GB2312" w:cs="仿宋" w:hint="eastAsia" w:eastAsia="仿宋_GB2312"/>
          <w:sz w:val="32"/>
          <w:szCs w:val="32"/>
        </w:rPr>
        <w:t>％的，可以申请降低住房公积金缴存比例，申请降低住房公积金缴存比例的期限不得超过一年</w:t>
      </w:r>
      <w:r>
        <w:rPr>
          <w:rFonts w:ascii="仿宋" w:hAnsi="仿宋" w:cs="仿宋" w:hint="eastAsia" w:eastAsia="仿宋"/>
          <w:sz w:val="32"/>
          <w:szCs w:val="32"/>
        </w:rPr>
        <w:t>。</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第十六条</w:t>
      </w:r>
      <w:r>
        <w:rPr>
          <w:rFonts w:ascii="仿宋" w:hAnsi="仿宋" w:cs="仿宋" w:eastAsia="仿宋"/>
          <w:sz w:val="32"/>
          <w:szCs w:val="32"/>
        </w:rPr>
        <w:t xml:space="preserve">  </w:t>
      </w:r>
      <w:r>
        <w:rPr>
          <w:rFonts w:ascii="仿宋_GB2312" w:hAnsi="仿宋_GB2312" w:cs="仿宋" w:hint="eastAsia" w:eastAsia="仿宋_GB2312"/>
          <w:sz w:val="32"/>
          <w:szCs w:val="32"/>
        </w:rPr>
        <w:t>单位连续两年职工月平均工资水平低于本市上一年度月人均工资</w:t>
      </w:r>
      <w:r>
        <w:rPr>
          <w:rFonts w:eastAsia="仿宋_GB2312" w:cs="仿宋" w:hint="eastAsia" w:ascii="仿宋_GB2312" w:hAnsi="仿宋_GB2312"/>
          <w:sz w:val="32"/>
          <w:szCs w:val="32"/>
        </w:rPr>
        <w:t>40</w:t>
      </w:r>
      <w:r>
        <w:rPr>
          <w:rFonts w:ascii="仿宋_GB2312" w:hAnsi="仿宋_GB2312" w:cs="仿宋" w:hint="eastAsia" w:eastAsia="仿宋_GB2312"/>
          <w:sz w:val="32"/>
          <w:szCs w:val="32"/>
        </w:rPr>
        <w:t>％的，可以申请缓缴住房公积金，申请缓缴住房公积金的期限不得超过一年。</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第十七条</w:t>
      </w:r>
      <w:r>
        <w:rPr>
          <w:rFonts w:ascii="仿宋" w:hAnsi="仿宋" w:cs="仿宋" w:eastAsia="仿宋"/>
          <w:sz w:val="32"/>
          <w:szCs w:val="32"/>
        </w:rPr>
        <w:t xml:space="preserve">  </w:t>
      </w:r>
      <w:r>
        <w:rPr>
          <w:rFonts w:ascii="仿宋_GB2312" w:hAnsi="仿宋_GB2312" w:cs="仿宋" w:hint="eastAsia" w:eastAsia="仿宋_GB2312"/>
          <w:sz w:val="32"/>
          <w:szCs w:val="32"/>
        </w:rPr>
        <w:t>职工按照市人民政府规定的最低工资标准领取工资的，职工个人可以免缴住房公积金，职工所在单位应当以市人民政府规定的最低工资标准为基数，按照规定的缴存比例为职工缴存住房公积金；只发放生活费的职工，单位和职工可免缴住房公积金。</w:t>
      </w:r>
    </w:p>
    <w:p>
      <w:pPr>
        <w:pStyle w:val="Normal"/>
        <w:spacing w:lineRule="exact" w:line="560"/>
        <w:ind w:firstLineChars="200" w:startChars="0" w:start="0" w:endChars="0" w:end="0"/>
        <w:rPr>
          <w:rFonts w:ascii="仿宋" w:hAnsi="仿宋" w:eastAsia="仿宋" w:cs="仿宋"/>
          <w:sz w:val="32"/>
          <w:szCs w:val="32"/>
        </w:rPr>
      </w:pPr>
      <w:r>
        <w:rPr>
          <w:rFonts w:ascii="黑体" w:hAnsi="黑体" w:cs="黑体" w:hint="eastAsia" w:eastAsia="黑体"/>
          <w:sz w:val="32"/>
          <w:szCs w:val="32"/>
        </w:rPr>
        <w:t>第十八条</w:t>
      </w:r>
      <w:r>
        <w:rPr>
          <w:rFonts w:ascii="仿宋" w:hAnsi="仿宋" w:cs="仿宋" w:eastAsia="仿宋"/>
          <w:sz w:val="32"/>
          <w:szCs w:val="32"/>
        </w:rPr>
        <w:t xml:space="preserve">  </w:t>
      </w:r>
      <w:r>
        <w:rPr>
          <w:rFonts w:ascii="仿宋_GB2312" w:hAnsi="仿宋_GB2312" w:cs="仿宋" w:hint="eastAsia" w:eastAsia="仿宋_GB2312"/>
          <w:sz w:val="32"/>
          <w:szCs w:val="32"/>
        </w:rPr>
        <w:t>单位提高、降低住房公积金缴存比例或缓缴、免缴住房公积金，应当由本单位职工代表大会或工会讨论通过，经管理中心审核，按有关规定报批后执行。</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第十九条</w:t>
      </w:r>
      <w:r>
        <w:rPr>
          <w:rFonts w:ascii="黑体" w:hAnsi="黑体" w:cs="黑体" w:eastAsia="黑体"/>
          <w:sz w:val="32"/>
          <w:szCs w:val="32"/>
        </w:rPr>
        <w:t xml:space="preserve"> </w:t>
      </w:r>
      <w:r>
        <w:rPr>
          <w:rFonts w:ascii="仿宋" w:hAnsi="仿宋" w:cs="仿宋" w:eastAsia="仿宋"/>
          <w:sz w:val="32"/>
          <w:szCs w:val="32"/>
        </w:rPr>
        <w:t xml:space="preserve"> </w:t>
      </w:r>
      <w:r>
        <w:rPr>
          <w:rFonts w:ascii="仿宋_GB2312" w:hAnsi="仿宋_GB2312" w:cs="仿宋" w:hint="eastAsia" w:eastAsia="仿宋_GB2312"/>
          <w:sz w:val="32"/>
          <w:szCs w:val="32"/>
        </w:rPr>
        <w:t>经批准降低缴存比例或者缓缴住房公积金的单位，待经济效益好转后，应恢复到规定的缴存比例或者补缴缓缴的住房公积金。批准期限到期后，仍需降低缴存比例或者缓缴住房公积金的单位，应当自到期之日起</w:t>
      </w:r>
      <w:r>
        <w:rPr>
          <w:rFonts w:eastAsia="仿宋_GB2312" w:cs="仿宋" w:hint="eastAsia" w:ascii="仿宋_GB2312" w:hAnsi="仿宋_GB2312"/>
          <w:sz w:val="32"/>
          <w:szCs w:val="32"/>
        </w:rPr>
        <w:t>30</w:t>
      </w:r>
      <w:r>
        <w:rPr>
          <w:rFonts w:ascii="仿宋_GB2312" w:hAnsi="仿宋_GB2312" w:cs="仿宋" w:hint="eastAsia" w:eastAsia="仿宋_GB2312"/>
          <w:sz w:val="32"/>
          <w:szCs w:val="32"/>
        </w:rPr>
        <w:t>日内重新办理降低缴存比例或者缓缴审批手续。</w:t>
      </w:r>
    </w:p>
    <w:p>
      <w:pPr>
        <w:pStyle w:val="Normal"/>
        <w:spacing w:lineRule="exact" w:line="560"/>
        <w:ind w:firstLineChars="200" w:startChars="0" w:start="0" w:endChars="0" w:end="0"/>
        <w:rPr>
          <w:rFonts w:ascii="仿宋" w:hAnsi="仿宋" w:eastAsia="仿宋" w:cs="仿宋"/>
          <w:sz w:val="32"/>
          <w:szCs w:val="32"/>
        </w:rPr>
      </w:pPr>
      <w:r>
        <w:rPr>
          <w:rFonts w:ascii="黑体" w:hAnsi="黑体" w:cs="黑体" w:hint="eastAsia" w:eastAsia="黑体"/>
          <w:sz w:val="32"/>
          <w:szCs w:val="32"/>
        </w:rPr>
        <w:t>第二十条</w:t>
      </w:r>
      <w:r>
        <w:rPr>
          <w:rFonts w:ascii="仿宋" w:hAnsi="仿宋" w:cs="仿宋" w:eastAsia="仿宋"/>
          <w:sz w:val="32"/>
          <w:szCs w:val="32"/>
        </w:rPr>
        <w:t xml:space="preserve">  </w:t>
      </w:r>
      <w:r>
        <w:rPr>
          <w:rFonts w:ascii="仿宋_GB2312" w:hAnsi="仿宋_GB2312" w:cs="仿宋" w:hint="eastAsia" w:eastAsia="仿宋_GB2312"/>
          <w:sz w:val="32"/>
          <w:szCs w:val="32"/>
        </w:rPr>
        <w:t>单位解散、撤销的，其欠缴职工的住房公积金本息优先偿还。企业被依法宣告破产的，欠缴职工的住房公积金本息列入第一清偿顺序。</w:t>
      </w:r>
    </w:p>
    <w:p>
      <w:pPr>
        <w:pStyle w:val="Normal"/>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firstLine="640" w:end="0"/>
        <w:jc w:val="start"/>
        <w:rPr>
          <w:rFonts w:ascii="仿宋_GB2312" w:hAnsi="仿宋_GB2312" w:eastAsia="仿宋_GB2312" w:hint="eastAsia"/>
          <w:sz w:val="32"/>
          <w:szCs w:val="32"/>
        </w:rPr>
      </w:pPr>
      <w:r>
        <w:rPr>
          <w:rFonts w:ascii="黑体" w:hAnsi="黑体" w:cs="黑体" w:hint="eastAsia" w:eastAsia="黑体"/>
          <w:sz w:val="32"/>
          <w:szCs w:val="32"/>
        </w:rPr>
        <w:t>第二十一条</w:t>
      </w:r>
      <w:r>
        <w:rPr>
          <w:rFonts w:ascii="仿宋" w:hAnsi="仿宋" w:cs="仿宋" w:eastAsia="仿宋"/>
          <w:sz w:val="32"/>
          <w:szCs w:val="32"/>
        </w:rPr>
        <w:t xml:space="preserve"> </w:t>
      </w:r>
      <w:r>
        <w:rPr>
          <w:rFonts w:ascii="仿宋_GB2312" w:hAnsi="仿宋_GB2312" w:cs="仿宋" w:hint="eastAsia" w:eastAsia="仿宋_GB2312"/>
          <w:sz w:val="32"/>
          <w:szCs w:val="32"/>
        </w:rPr>
        <w:t xml:space="preserve"> </w:t>
      </w:r>
      <w:r>
        <w:rPr>
          <w:rFonts w:ascii="仿宋_GB2312" w:hAnsi="仿宋_GB2312" w:hint="eastAsia" w:eastAsia="仿宋_GB2312"/>
          <w:sz w:val="32"/>
          <w:szCs w:val="32"/>
        </w:rPr>
        <w:t>住房公积金的存、贷利率按照国家规定执行。</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第二十二条</w:t>
      </w:r>
      <w:r>
        <w:rPr>
          <w:rFonts w:ascii="仿宋" w:hAnsi="仿宋" w:cs="仿宋" w:eastAsia="仿宋"/>
          <w:sz w:val="32"/>
          <w:szCs w:val="32"/>
        </w:rPr>
        <w:t xml:space="preserve">  </w:t>
      </w:r>
      <w:r>
        <w:rPr>
          <w:rFonts w:ascii="仿宋_GB2312" w:hAnsi="仿宋_GB2312" w:cs="仿宋" w:hint="eastAsia" w:eastAsia="仿宋_GB2312"/>
          <w:sz w:val="32"/>
          <w:szCs w:val="32"/>
        </w:rPr>
        <w:t>缴存的住房公积金及其利息按照国家有关规定不计入职工个人所得税应纳税所得额。</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提取的住房公积金及其利息按照国家有关规定免交个人所得税。</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第二十三条</w:t>
      </w:r>
      <w:r>
        <w:rPr>
          <w:rFonts w:ascii="仿宋" w:hAnsi="仿宋" w:cs="仿宋" w:eastAsia="仿宋"/>
          <w:sz w:val="32"/>
          <w:szCs w:val="32"/>
        </w:rPr>
        <w:t xml:space="preserve">  </w:t>
      </w:r>
      <w:r>
        <w:rPr>
          <w:rFonts w:ascii="仿宋_GB2312" w:hAnsi="仿宋_GB2312" w:cs="仿宋" w:hint="eastAsia" w:eastAsia="仿宋_GB2312"/>
          <w:sz w:val="32"/>
          <w:szCs w:val="32"/>
        </w:rPr>
        <w:t>单位为职工缴存的住房公积金，按照下列规定列支：</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（一）机关在预算中列支；</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（二）事业单位由财政部门核定收支后，在预算或费用中列支；</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（三）企业在成本中列支。</w:t>
      </w:r>
    </w:p>
    <w:p>
      <w:pPr>
        <w:pStyle w:val="Heading1"/>
        <w:ind w:hanging="0" w:start="0"/>
        <w:rPr>
          <w:rFonts w:ascii="宋体" w:hAnsi="宋体" w:eastAsia="宋体" w:cs="宋体" w:hint="eastAsia"/>
          <w:sz w:val="32"/>
          <w:szCs w:val="32"/>
        </w:rPr>
      </w:pPr>
      <w:r>
        <w:rPr>
          <w:rFonts w:eastAsia="宋体" w:cs="宋体" w:hint="eastAsia" w:ascii="宋体" w:hAnsi="宋体"/>
          <w:sz w:val="32"/>
          <w:szCs w:val="32"/>
        </w:rPr>
      </w:r>
      <w:bookmarkStart w:id="3" w:name="__RefHeading___Toc18944"/>
    </w:p>
    <w:p>
      <w:pPr>
        <w:pStyle w:val="Heading1"/>
        <w:ind w:hanging="0" w:start="0"/>
        <w:rPr/>
      </w:pPr>
      <w:r>
        <w:rPr>
          <w:rFonts w:hint="eastAsia"/>
        </w:rPr>
        <w:t>第三章</w:t>
      </w:r>
      <w:r>
        <w:rPr/>
        <w:t xml:space="preserve">  </w:t>
      </w:r>
      <w:r>
        <w:rPr>
          <w:rFonts w:hint="eastAsia"/>
        </w:rPr>
        <w:t>转移和封存</w:t>
      </w:r>
      <w:bookmarkEnd w:id="3"/>
    </w:p>
    <w:p>
      <w:pPr>
        <w:pStyle w:val="Normal"/>
        <w:spacing w:lineRule="exact" w:line="560"/>
        <w:ind w:firstLineChars="200" w:startChars="0" w:start="0" w:endChars="0" w:end="0"/>
        <w:rPr>
          <w:rFonts w:ascii="宋体" w:hAnsi="宋体" w:cs="黑体"/>
          <w:sz w:val="32"/>
          <w:szCs w:val="32"/>
        </w:rPr>
      </w:pPr>
      <w:r>
        <w:rPr>
          <w:rFonts w:cs="黑体"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sz w:val="32"/>
          <w:szCs w:val="32"/>
        </w:rPr>
        <w:t>第二十四条</w:t>
      </w:r>
      <w:r>
        <w:rPr>
          <w:rFonts w:ascii="仿宋" w:hAnsi="仿宋" w:cs="仿宋" w:eastAsia="仿宋"/>
          <w:sz w:val="32"/>
          <w:szCs w:val="32"/>
        </w:rPr>
        <w:t xml:space="preserve">  </w:t>
      </w:r>
      <w:r>
        <w:rPr>
          <w:rFonts w:ascii="仿宋_GB2312" w:hAnsi="仿宋_GB2312" w:cs="仿宋" w:hint="eastAsia" w:eastAsia="仿宋_GB2312"/>
          <w:sz w:val="32"/>
          <w:szCs w:val="32"/>
        </w:rPr>
        <w:t>单位合并、分立、撤销、解散或者破产的，应当在</w:t>
      </w:r>
      <w:r>
        <w:rPr>
          <w:rFonts w:eastAsia="仿宋_GB2312" w:cs="仿宋" w:hint="eastAsia" w:ascii="仿宋_GB2312" w:hAnsi="仿宋_GB2312"/>
          <w:sz w:val="32"/>
          <w:szCs w:val="32"/>
        </w:rPr>
        <w:t>30</w:t>
      </w:r>
      <w:r>
        <w:rPr>
          <w:rFonts w:ascii="仿宋_GB2312" w:hAnsi="仿宋_GB2312" w:cs="仿宋" w:hint="eastAsia" w:eastAsia="仿宋_GB2312"/>
          <w:sz w:val="32"/>
          <w:szCs w:val="32"/>
        </w:rPr>
        <w:t>日内由原单位或者清算组织到管理中心办理变更登记手续，并办理职工住房公积金账户的转移、封存或者托管封存手续。</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第二十五条</w:t>
      </w:r>
      <w:r>
        <w:rPr>
          <w:rFonts w:ascii="黑体" w:hAnsi="黑体" w:cs="黑体" w:eastAsia="黑体"/>
          <w:sz w:val="32"/>
          <w:szCs w:val="32"/>
        </w:rPr>
        <w:t xml:space="preserve"> </w:t>
      </w:r>
      <w:r>
        <w:rPr>
          <w:rFonts w:ascii="仿宋" w:hAnsi="仿宋" w:cs="仿宋" w:eastAsia="仿宋"/>
          <w:sz w:val="32"/>
          <w:szCs w:val="32"/>
        </w:rPr>
        <w:t xml:space="preserve"> </w:t>
      </w:r>
      <w:r>
        <w:rPr>
          <w:rFonts w:ascii="仿宋_GB2312" w:hAnsi="仿宋_GB2312" w:cs="仿宋" w:hint="eastAsia" w:eastAsia="仿宋_GB2312"/>
          <w:sz w:val="32"/>
          <w:szCs w:val="32"/>
        </w:rPr>
        <w:t>单位与职工终止劳动关系的，单位应当自劳动关系终止之日起</w:t>
      </w:r>
      <w:r>
        <w:rPr>
          <w:rFonts w:eastAsia="仿宋_GB2312" w:cs="仿宋" w:hint="eastAsia" w:ascii="仿宋_GB2312" w:hAnsi="仿宋_GB2312"/>
          <w:sz w:val="32"/>
          <w:szCs w:val="32"/>
        </w:rPr>
        <w:t>30</w:t>
      </w:r>
      <w:r>
        <w:rPr>
          <w:rFonts w:ascii="仿宋_GB2312" w:hAnsi="仿宋_GB2312" w:cs="仿宋" w:hint="eastAsia" w:eastAsia="仿宋_GB2312"/>
          <w:sz w:val="32"/>
          <w:szCs w:val="32"/>
        </w:rPr>
        <w:t>日内到管理中心办理托管封存手续。</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单位与职工停止工资关系但尚未解除劳动关系的，应在</w:t>
      </w:r>
      <w:r>
        <w:rPr>
          <w:rFonts w:eastAsia="仿宋_GB2312" w:cs="仿宋" w:hint="eastAsia" w:ascii="仿宋_GB2312" w:hAnsi="仿宋_GB2312"/>
          <w:sz w:val="32"/>
          <w:szCs w:val="32"/>
        </w:rPr>
        <w:t>30</w:t>
      </w:r>
      <w:r>
        <w:rPr>
          <w:rFonts w:ascii="仿宋_GB2312" w:hAnsi="仿宋_GB2312" w:cs="仿宋" w:hint="eastAsia" w:eastAsia="仿宋_GB2312"/>
          <w:sz w:val="32"/>
          <w:szCs w:val="32"/>
        </w:rPr>
        <w:t>日内到管理中心办理住房公积金停缴手续。工资关系恢复时恢复缴存。</w:t>
      </w:r>
    </w:p>
    <w:p>
      <w:pPr>
        <w:pStyle w:val="Normal"/>
        <w:spacing w:lineRule="exact" w:line="560"/>
        <w:ind w:firstLineChars="200" w:startChars="0" w:start="0" w:endChars="0" w:end="0"/>
        <w:rPr>
          <w:rFonts w:ascii="仿宋" w:hAnsi="仿宋" w:eastAsia="仿宋" w:cs="仿宋"/>
          <w:sz w:val="32"/>
          <w:szCs w:val="32"/>
        </w:rPr>
      </w:pPr>
      <w:r>
        <w:rPr>
          <w:rFonts w:ascii="黑体" w:hAnsi="黑体" w:cs="黑体" w:hint="eastAsia" w:eastAsia="黑体"/>
          <w:sz w:val="32"/>
          <w:szCs w:val="32"/>
        </w:rPr>
        <w:t>第二十六条</w:t>
      </w:r>
      <w:r>
        <w:rPr>
          <w:rFonts w:ascii="仿宋" w:hAnsi="仿宋" w:cs="仿宋" w:eastAsia="仿宋"/>
          <w:sz w:val="32"/>
          <w:szCs w:val="32"/>
        </w:rPr>
        <w:t xml:space="preserve">  </w:t>
      </w:r>
      <w:r>
        <w:rPr>
          <w:rFonts w:ascii="仿宋_GB2312" w:hAnsi="仿宋_GB2312" w:cs="仿宋" w:hint="eastAsia" w:eastAsia="仿宋_GB2312"/>
          <w:sz w:val="32"/>
          <w:szCs w:val="32"/>
        </w:rPr>
        <w:t>职工调出的，调出单位应当在</w:t>
      </w:r>
      <w:r>
        <w:rPr>
          <w:rFonts w:eastAsia="仿宋_GB2312" w:cs="仿宋" w:hint="eastAsia" w:ascii="仿宋_GB2312" w:hAnsi="仿宋_GB2312"/>
          <w:sz w:val="32"/>
          <w:szCs w:val="32"/>
        </w:rPr>
        <w:t>30</w:t>
      </w:r>
      <w:r>
        <w:rPr>
          <w:rFonts w:ascii="仿宋_GB2312" w:hAnsi="仿宋_GB2312" w:cs="仿宋" w:hint="eastAsia" w:eastAsia="仿宋_GB2312"/>
          <w:sz w:val="32"/>
          <w:szCs w:val="32"/>
        </w:rPr>
        <w:t>日内到管理中心办理职工住房公积金账户转移手续。</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第二十七条</w:t>
      </w:r>
      <w:r>
        <w:rPr>
          <w:rFonts w:ascii="仿宋" w:hAnsi="仿宋" w:cs="仿宋" w:eastAsia="仿宋"/>
          <w:sz w:val="32"/>
          <w:szCs w:val="32"/>
        </w:rPr>
        <w:t xml:space="preserve">  </w:t>
      </w:r>
      <w:r>
        <w:rPr>
          <w:rFonts w:ascii="仿宋_GB2312" w:hAnsi="仿宋_GB2312" w:cs="仿宋" w:hint="eastAsia" w:eastAsia="仿宋_GB2312"/>
          <w:sz w:val="32"/>
          <w:szCs w:val="32"/>
        </w:rPr>
        <w:t>管理中心应当设立托管封存账户，对下列情况职工的住房公积金实行托管封存管理：</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（一）被兼并或破产单位的职工未与新单位签订劳动合同的；</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（二）职工出境逾期一年不归，单位提出封存管理申请的；</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（三）职工与单位的劳动合同解除，未被新单位录用的；</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（四）职工辞职或被单位辞退，未被新单位录用的；</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（五）职工被单位除名或开除，未被新单位录用的；</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（六）职工在服刑、劳教期间的；</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（七）因其他原因需要封存住房公积金账户的。</w:t>
      </w:r>
    </w:p>
    <w:p>
      <w:pPr>
        <w:pStyle w:val="Heading1"/>
        <w:ind w:hanging="0" w:start="0"/>
        <w:rPr>
          <w:rFonts w:ascii="宋体" w:hAnsi="宋体" w:eastAsia="宋体" w:cs="宋体" w:hint="eastAsia"/>
          <w:sz w:val="32"/>
          <w:szCs w:val="32"/>
        </w:rPr>
      </w:pPr>
      <w:r>
        <w:rPr>
          <w:rFonts w:eastAsia="宋体" w:cs="宋体" w:hint="eastAsia" w:ascii="宋体" w:hAnsi="宋体"/>
          <w:sz w:val="32"/>
          <w:szCs w:val="32"/>
        </w:rPr>
      </w:r>
      <w:bookmarkStart w:id="4" w:name="__RefHeading___Toc20396"/>
    </w:p>
    <w:p>
      <w:pPr>
        <w:pStyle w:val="Heading1"/>
        <w:ind w:hanging="0" w:start="0"/>
        <w:rPr/>
      </w:pPr>
      <w:r>
        <w:rPr>
          <w:rFonts w:hint="eastAsia"/>
        </w:rPr>
        <w:t>第四章</w:t>
      </w:r>
      <w:r>
        <w:rPr/>
        <w:t xml:space="preserve">  </w:t>
      </w:r>
      <w:r>
        <w:rPr>
          <w:rFonts w:hint="eastAsia"/>
        </w:rPr>
        <w:t>提取和使用</w:t>
      </w:r>
      <w:bookmarkEnd w:id="4"/>
    </w:p>
    <w:p>
      <w:pPr>
        <w:pStyle w:val="Normal"/>
        <w:spacing w:lineRule="exact" w:line="560"/>
        <w:ind w:firstLineChars="200" w:startChars="0" w:start="0" w:endChars="0" w:end="0"/>
        <w:rPr>
          <w:rFonts w:ascii="宋体" w:hAnsi="宋体" w:cs="黑体"/>
          <w:sz w:val="32"/>
          <w:szCs w:val="32"/>
        </w:rPr>
      </w:pPr>
      <w:r>
        <w:rPr>
          <w:rFonts w:cs="黑体" w:ascii="宋体" w:hAnsi="宋体"/>
          <w:sz w:val="32"/>
          <w:szCs w:val="32"/>
        </w:rPr>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第二十八条</w:t>
      </w:r>
      <w:r>
        <w:rPr>
          <w:rFonts w:ascii="仿宋" w:hAnsi="仿宋" w:cs="仿宋" w:eastAsia="仿宋"/>
          <w:sz w:val="32"/>
          <w:szCs w:val="32"/>
        </w:rPr>
        <w:t xml:space="preserve">  </w:t>
      </w:r>
      <w:r>
        <w:rPr>
          <w:rFonts w:ascii="仿宋_GB2312" w:hAnsi="仿宋_GB2312" w:cs="仿宋" w:hint="eastAsia" w:eastAsia="仿宋_GB2312"/>
          <w:sz w:val="32"/>
          <w:szCs w:val="32"/>
        </w:rPr>
        <w:t>职工有下列情形之一的，可以提取住房公积金账户内存储余额：</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（一）购买、建造、翻建、大修自住住房的；</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（二）偿还所购自住住房贷款本息的；</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（三）离休、退休的；</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（四）完全丧失劳动能力，并与单位终止劳动关系的；</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（五）出境定居的；</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（六）户口迁出本市，并与单位终止劳动关系的。</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依照前款第（三）至（六）项规定，提取职工住房公积金的，同时注销职工住房公积金账户。</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第二十九条</w:t>
      </w:r>
      <w:r>
        <w:rPr>
          <w:rFonts w:ascii="黑体" w:hAnsi="黑体" w:cs="黑体" w:eastAsia="黑体"/>
          <w:sz w:val="32"/>
          <w:szCs w:val="32"/>
        </w:rPr>
        <w:t xml:space="preserve"> </w:t>
      </w:r>
      <w:r>
        <w:rPr>
          <w:rFonts w:ascii="仿宋_GB2312" w:hAnsi="仿宋_GB2312" w:cs="仿宋" w:hint="eastAsia" w:eastAsia="仿宋_GB2312"/>
          <w:sz w:val="32"/>
          <w:szCs w:val="32"/>
        </w:rPr>
        <w:t xml:space="preserve"> 职工死亡或者被宣告死亡的，职工的继承人、受遗赠人可以提取职工住房公积金账户内的存储余额；无继承人也无受遗赠人的，职工住房公积金账户内的存储余额纳入住房公积金的增值收益。</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第三十条</w:t>
      </w:r>
      <w:r>
        <w:rPr>
          <w:rFonts w:ascii="黑体" w:hAnsi="黑体" w:cs="黑体" w:eastAsia="黑体"/>
          <w:sz w:val="32"/>
          <w:szCs w:val="32"/>
        </w:rPr>
        <w:t xml:space="preserve"> </w:t>
      </w:r>
      <w:r>
        <w:rPr>
          <w:rFonts w:ascii="仿宋_GB2312" w:hAnsi="仿宋_GB2312" w:cs="仿宋" w:hint="eastAsia" w:eastAsia="仿宋_GB2312"/>
          <w:sz w:val="32"/>
          <w:szCs w:val="32"/>
        </w:rPr>
        <w:t xml:space="preserve"> 职工提取住房公积金的，应当出具合法、有效的证件和证明，由职工所在单位予以核实后，向管理中心提出申请。管理中心应当自受理之日起</w:t>
      </w:r>
      <w:r>
        <w:rPr>
          <w:rFonts w:eastAsia="仿宋_GB2312" w:cs="仿宋" w:hint="eastAsia" w:ascii="仿宋_GB2312" w:hAnsi="仿宋_GB2312"/>
          <w:sz w:val="32"/>
          <w:szCs w:val="32"/>
        </w:rPr>
        <w:t>3</w:t>
      </w:r>
      <w:r>
        <w:rPr>
          <w:rFonts w:ascii="仿宋_GB2312" w:hAnsi="仿宋_GB2312" w:cs="仿宋" w:hint="eastAsia" w:eastAsia="仿宋_GB2312"/>
          <w:sz w:val="32"/>
          <w:szCs w:val="32"/>
        </w:rPr>
        <w:t>日内作出准予提取或者不准提取的决定，并通知申请人。准予提取的，即可办理支付手续；不准予提取的，管理中心应当告知申请人不准予提取的原因。</w:t>
      </w:r>
    </w:p>
    <w:p>
      <w:pPr>
        <w:pStyle w:val="Normal"/>
        <w:spacing w:lineRule="exact" w:line="560"/>
        <w:ind w:firstLineChars="200" w:startChars="0" w:start="0" w:endChars="0" w:end="0"/>
        <w:rPr>
          <w:rFonts w:ascii="仿宋" w:hAnsi="仿宋" w:eastAsia="仿宋" w:cs="仿宋"/>
          <w:sz w:val="32"/>
          <w:szCs w:val="32"/>
        </w:rPr>
      </w:pPr>
      <w:r>
        <w:rPr>
          <w:rFonts w:ascii="仿宋_GB2312" w:hAnsi="仿宋_GB2312" w:cs="仿宋" w:hint="eastAsia" w:eastAsia="仿宋_GB2312"/>
          <w:sz w:val="32"/>
          <w:szCs w:val="32"/>
        </w:rPr>
        <w:t>职工的住房公积金实行账户托管封存管理的，由职工个人直接到管理中心提出申请。</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第三十一条</w:t>
      </w:r>
      <w:r>
        <w:rPr>
          <w:rFonts w:ascii="黑体" w:hAnsi="黑体" w:cs="黑体" w:eastAsia="黑体"/>
          <w:sz w:val="32"/>
          <w:szCs w:val="32"/>
        </w:rPr>
        <w:t xml:space="preserve"> </w:t>
      </w:r>
      <w:r>
        <w:rPr>
          <w:rFonts w:ascii="仿宋" w:hAnsi="仿宋" w:cs="仿宋" w:eastAsia="仿宋"/>
          <w:sz w:val="32"/>
          <w:szCs w:val="32"/>
        </w:rPr>
        <w:t xml:space="preserve"> </w:t>
      </w:r>
      <w:r>
        <w:rPr>
          <w:rFonts w:ascii="仿宋_GB2312" w:hAnsi="仿宋_GB2312" w:cs="仿宋" w:hint="eastAsia" w:eastAsia="仿宋_GB2312"/>
          <w:sz w:val="32"/>
          <w:szCs w:val="32"/>
        </w:rPr>
        <w:t>缴存住房公积金的职工，在购买、建造、翻建、大修自住住房时，可以向管理中心申请住房公积金贷款。</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管理中心应当自受理申请之日起</w:t>
      </w:r>
      <w:r>
        <w:rPr>
          <w:rFonts w:eastAsia="仿宋_GB2312" w:cs="仿宋" w:hint="eastAsia" w:ascii="仿宋_GB2312" w:hAnsi="仿宋_GB2312"/>
          <w:sz w:val="32"/>
          <w:szCs w:val="32"/>
        </w:rPr>
        <w:t>15</w:t>
      </w:r>
      <w:r>
        <w:rPr>
          <w:rFonts w:ascii="仿宋_GB2312" w:hAnsi="仿宋_GB2312" w:cs="仿宋" w:hint="eastAsia" w:eastAsia="仿宋_GB2312"/>
          <w:sz w:val="32"/>
          <w:szCs w:val="32"/>
        </w:rPr>
        <w:t>日内作出准予贷款或者不准贷款的决定，并书面通知申请人；准予贷款的，即可办理贷款手续。</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住房公积金贷款的风险，由管理中心承担。</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第三十二条</w:t>
      </w:r>
      <w:r>
        <w:rPr>
          <w:rFonts w:ascii="黑体" w:hAnsi="黑体" w:cs="黑体" w:eastAsia="黑体"/>
          <w:sz w:val="32"/>
          <w:szCs w:val="32"/>
        </w:rPr>
        <w:t xml:space="preserve"> </w:t>
      </w:r>
      <w:r>
        <w:rPr>
          <w:rFonts w:ascii="仿宋" w:hAnsi="仿宋" w:cs="仿宋" w:eastAsia="仿宋"/>
          <w:sz w:val="32"/>
          <w:szCs w:val="32"/>
        </w:rPr>
        <w:t xml:space="preserve"> </w:t>
      </w:r>
      <w:r>
        <w:rPr>
          <w:rFonts w:ascii="仿宋_GB2312" w:hAnsi="仿宋_GB2312" w:cs="仿宋" w:hint="eastAsia" w:eastAsia="仿宋_GB2312"/>
          <w:sz w:val="32"/>
          <w:szCs w:val="32"/>
        </w:rPr>
        <w:t>申请人申请住房公积金贷款的，应当提供担保。</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第三十三条</w:t>
      </w:r>
      <w:r>
        <w:rPr>
          <w:rFonts w:ascii="仿宋" w:hAnsi="仿宋" w:cs="仿宋" w:eastAsia="仿宋"/>
          <w:sz w:val="32"/>
          <w:szCs w:val="32"/>
        </w:rPr>
        <w:t xml:space="preserve">  </w:t>
      </w:r>
      <w:r>
        <w:rPr>
          <w:rFonts w:ascii="仿宋_GB2312" w:hAnsi="仿宋_GB2312" w:cs="仿宋" w:hint="eastAsia" w:eastAsia="仿宋_GB2312"/>
          <w:sz w:val="32"/>
          <w:szCs w:val="32"/>
        </w:rPr>
        <w:t>管理中心在保证住房公积金提取和贷款的前提下，经管委会批准，可以将住房公积金用于购买国债。</w:t>
      </w:r>
    </w:p>
    <w:p>
      <w:pPr>
        <w:pStyle w:val="Normal"/>
        <w:spacing w:lineRule="exact" w:line="560"/>
        <w:ind w:firstLineChars="200" w:startChars="0" w:start="0" w:endChars="0" w:end="0"/>
        <w:rPr>
          <w:rFonts w:ascii="仿宋" w:hAnsi="仿宋" w:eastAsia="仿宋" w:cs="仿宋"/>
          <w:sz w:val="32"/>
          <w:szCs w:val="32"/>
        </w:rPr>
      </w:pPr>
      <w:r>
        <w:rPr>
          <w:rFonts w:ascii="仿宋_GB2312" w:hAnsi="仿宋_GB2312" w:cs="仿宋" w:hint="eastAsia" w:eastAsia="仿宋_GB2312"/>
          <w:sz w:val="32"/>
          <w:szCs w:val="32"/>
        </w:rPr>
        <w:t>管理中心不得向他人提供担保。</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第三十四条</w:t>
      </w:r>
      <w:r>
        <w:rPr>
          <w:rFonts w:ascii="黑体" w:hAnsi="黑体" w:cs="黑体" w:eastAsia="黑体"/>
          <w:sz w:val="32"/>
          <w:szCs w:val="32"/>
        </w:rPr>
        <w:t xml:space="preserve"> </w:t>
      </w:r>
      <w:r>
        <w:rPr>
          <w:rFonts w:ascii="仿宋" w:hAnsi="仿宋" w:cs="仿宋" w:eastAsia="仿宋"/>
          <w:sz w:val="32"/>
          <w:szCs w:val="32"/>
        </w:rPr>
        <w:t xml:space="preserve"> </w:t>
      </w:r>
      <w:r>
        <w:rPr>
          <w:rFonts w:ascii="仿宋_GB2312" w:hAnsi="仿宋_GB2312" w:cs="仿宋" w:hint="eastAsia" w:eastAsia="仿宋_GB2312"/>
          <w:sz w:val="32"/>
          <w:szCs w:val="32"/>
        </w:rPr>
        <w:t>住房公积金的增值收益应当存入管理中心在受委托银行开立的住房公积金增值收益专户，用于建立住房公积金贷款风险准备金、管理中心的管理费用和建设城市廉租住房的补充资金。</w:t>
      </w:r>
    </w:p>
    <w:p>
      <w:pPr>
        <w:pStyle w:val="Heading1"/>
        <w:ind w:hanging="0" w:start="0"/>
        <w:rPr>
          <w:rFonts w:ascii="宋体" w:hAnsi="宋体" w:eastAsia="宋体" w:cs="宋体" w:hint="eastAsia"/>
          <w:sz w:val="32"/>
          <w:szCs w:val="32"/>
        </w:rPr>
      </w:pPr>
      <w:r>
        <w:rPr>
          <w:rFonts w:eastAsia="宋体" w:cs="宋体" w:hint="eastAsia" w:ascii="宋体" w:hAnsi="宋体"/>
          <w:sz w:val="32"/>
          <w:szCs w:val="32"/>
        </w:rPr>
      </w:r>
      <w:bookmarkStart w:id="5" w:name="__RefHeading___Toc14131"/>
    </w:p>
    <w:p>
      <w:pPr>
        <w:pStyle w:val="Heading1"/>
        <w:ind w:hanging="0" w:start="0"/>
        <w:rPr/>
      </w:pPr>
      <w:r>
        <w:rPr>
          <w:rFonts w:hint="eastAsia"/>
        </w:rPr>
        <w:t>第五章</w:t>
      </w:r>
      <w:r>
        <w:rPr/>
        <w:t xml:space="preserve">  </w:t>
      </w:r>
      <w:r>
        <w:rPr>
          <w:rFonts w:hint="eastAsia"/>
        </w:rPr>
        <w:t>监督检查</w:t>
      </w:r>
      <w:bookmarkEnd w:id="5"/>
    </w:p>
    <w:p>
      <w:pPr>
        <w:pStyle w:val="Normal"/>
        <w:spacing w:lineRule="exact" w:line="560"/>
        <w:ind w:firstLineChars="200" w:startChars="0" w:start="0" w:endChars="0" w:end="0"/>
        <w:rPr>
          <w:rFonts w:ascii="宋体" w:hAnsi="宋体" w:cs="黑体"/>
          <w:sz w:val="32"/>
          <w:szCs w:val="32"/>
        </w:rPr>
      </w:pPr>
      <w:r>
        <w:rPr>
          <w:rFonts w:cs="黑体" w:ascii="宋体" w:hAnsi="宋体"/>
          <w:sz w:val="32"/>
          <w:szCs w:val="32"/>
        </w:rPr>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第三十五条</w:t>
      </w:r>
      <w:r>
        <w:rPr>
          <w:rFonts w:ascii="黑体" w:hAnsi="黑体" w:cs="黑体" w:eastAsia="黑体"/>
          <w:sz w:val="32"/>
          <w:szCs w:val="32"/>
        </w:rPr>
        <w:t xml:space="preserve"> </w:t>
      </w:r>
      <w:r>
        <w:rPr>
          <w:rFonts w:ascii="仿宋" w:hAnsi="仿宋" w:cs="仿宋" w:eastAsia="仿宋"/>
          <w:sz w:val="32"/>
          <w:szCs w:val="32"/>
        </w:rPr>
        <w:t xml:space="preserve"> </w:t>
      </w:r>
      <w:r>
        <w:rPr>
          <w:rFonts w:ascii="仿宋_GB2312" w:hAnsi="仿宋_GB2312" w:cs="仿宋" w:hint="eastAsia" w:eastAsia="仿宋_GB2312"/>
          <w:sz w:val="32"/>
          <w:szCs w:val="32"/>
        </w:rPr>
        <w:t>财政部门应当加强对住房公积金归集、提取和使用情况的监督，并向管委会通报。</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管理中心在编制住房公积金归集、使用计划时，应当征求财政部门的意见。</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管委会在审批住房公积金归集、使用计划和计划执行情况的报告时，必须有财政部门参加。</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第三十六条</w:t>
      </w:r>
      <w:r>
        <w:rPr>
          <w:rFonts w:ascii="仿宋" w:hAnsi="仿宋" w:cs="仿宋" w:eastAsia="仿宋"/>
          <w:sz w:val="32"/>
          <w:szCs w:val="32"/>
        </w:rPr>
        <w:t xml:space="preserve">  </w:t>
      </w:r>
      <w:r>
        <w:rPr>
          <w:rFonts w:ascii="仿宋_GB2312" w:hAnsi="仿宋_GB2312" w:cs="仿宋" w:hint="eastAsia" w:eastAsia="仿宋_GB2312"/>
          <w:sz w:val="32"/>
          <w:szCs w:val="32"/>
        </w:rPr>
        <w:t>管理中心编制的住房公积金年度预算、决算，应当经财政部门审核后，提交管委会审议。</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管理中心应当每年定期向管委会和财政部门报送财务报告，并将财务报告于每年</w:t>
      </w:r>
      <w:r>
        <w:rPr>
          <w:rFonts w:eastAsia="仿宋_GB2312" w:cs="仿宋" w:hint="eastAsia" w:ascii="仿宋_GB2312" w:hAnsi="仿宋_GB2312"/>
          <w:sz w:val="32"/>
          <w:szCs w:val="32"/>
        </w:rPr>
        <w:t>3</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31</w:t>
      </w:r>
      <w:r>
        <w:rPr>
          <w:rFonts w:ascii="仿宋_GB2312" w:hAnsi="仿宋_GB2312" w:cs="仿宋" w:hint="eastAsia" w:eastAsia="仿宋_GB2312"/>
          <w:sz w:val="32"/>
          <w:szCs w:val="32"/>
        </w:rPr>
        <w:t>日前向社会公布。</w:t>
      </w:r>
    </w:p>
    <w:p>
      <w:pPr>
        <w:pStyle w:val="Normal"/>
        <w:spacing w:lineRule="exact" w:line="560"/>
        <w:ind w:firstLineChars="200" w:startChars="0" w:start="0" w:endChars="0" w:end="0"/>
        <w:rPr>
          <w:rFonts w:ascii="仿宋" w:hAnsi="仿宋" w:eastAsia="仿宋" w:cs="仿宋"/>
          <w:sz w:val="32"/>
          <w:szCs w:val="32"/>
        </w:rPr>
      </w:pPr>
      <w:r>
        <w:rPr>
          <w:rFonts w:ascii="黑体" w:hAnsi="黑体" w:cs="黑体" w:hint="eastAsia" w:eastAsia="黑体"/>
          <w:sz w:val="32"/>
          <w:szCs w:val="32"/>
        </w:rPr>
        <w:t>第三十七条</w:t>
      </w:r>
      <w:r>
        <w:rPr>
          <w:rFonts w:ascii="仿宋" w:hAnsi="仿宋" w:cs="仿宋" w:eastAsia="仿宋"/>
          <w:sz w:val="32"/>
          <w:szCs w:val="32"/>
        </w:rPr>
        <w:t xml:space="preserve"> </w:t>
      </w:r>
      <w:r>
        <w:rPr>
          <w:rFonts w:ascii="仿宋_GB2312" w:hAnsi="仿宋_GB2312" w:cs="仿宋" w:hint="eastAsia" w:eastAsia="仿宋_GB2312"/>
          <w:sz w:val="32"/>
          <w:szCs w:val="32"/>
        </w:rPr>
        <w:t xml:space="preserve"> 管理中心应依法接受审计部门的审计监督，并按要求提供相关资料。</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第三十八条</w:t>
      </w:r>
      <w:r>
        <w:rPr>
          <w:rFonts w:ascii="仿宋" w:hAnsi="仿宋" w:cs="仿宋" w:eastAsia="仿宋"/>
          <w:sz w:val="32"/>
          <w:szCs w:val="32"/>
        </w:rPr>
        <w:t xml:space="preserve">  </w:t>
      </w:r>
      <w:r>
        <w:rPr>
          <w:rFonts w:ascii="仿宋_GB2312" w:hAnsi="仿宋_GB2312" w:cs="仿宋" w:hint="eastAsia" w:eastAsia="仿宋_GB2312"/>
          <w:sz w:val="32"/>
          <w:szCs w:val="32"/>
        </w:rPr>
        <w:t>缴存住房公积金的单位应当履行下列义务：</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（一）住房公积金的缴存登记或者变更、注销登记；</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（二）住房公积金账户的设立、转移或者封存；</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（三）足额缴存住房公积金；</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（四）建立职工住房公积金明细账并发放缴存的有效凭证。</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第三十九条</w:t>
      </w:r>
      <w:r>
        <w:rPr>
          <w:rFonts w:ascii="仿宋" w:hAnsi="仿宋" w:cs="仿宋" w:eastAsia="仿宋"/>
          <w:sz w:val="32"/>
          <w:szCs w:val="32"/>
        </w:rPr>
        <w:t xml:space="preserve">  </w:t>
      </w:r>
      <w:r>
        <w:rPr>
          <w:rFonts w:ascii="仿宋_GB2312" w:hAnsi="仿宋_GB2312" w:cs="仿宋" w:hint="eastAsia" w:eastAsia="仿宋_GB2312"/>
          <w:sz w:val="32"/>
          <w:szCs w:val="32"/>
        </w:rPr>
        <w:t>单位和职工签订劳动合同时应载明缴存住房公积金的条款内容。</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单位应当定期公布住房公积金的缴存情况，接受工会组织的监督。</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职工有要求所在单位按照规定为其建立住房公积金和按期足额缴存住房公积金的权利；职工发现所在单位未按照规定缴存住房公积金或者未及时办理职工住房公积金账户的设立、转移或者封存的，可以向管理中心投诉。管理中心接到投诉后应当及时处理，并将处理结果告知投诉人。</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第四十条</w:t>
      </w:r>
      <w:r>
        <w:rPr>
          <w:rFonts w:ascii="仿宋" w:hAnsi="仿宋" w:cs="仿宋" w:eastAsia="仿宋"/>
          <w:sz w:val="32"/>
          <w:szCs w:val="32"/>
        </w:rPr>
        <w:t xml:space="preserve">  </w:t>
      </w:r>
      <w:r>
        <w:rPr>
          <w:rFonts w:ascii="仿宋_GB2312" w:hAnsi="仿宋_GB2312" w:cs="仿宋" w:hint="eastAsia" w:eastAsia="仿宋_GB2312"/>
          <w:sz w:val="32"/>
          <w:szCs w:val="32"/>
        </w:rPr>
        <w:t>单位应当建立健全住房公积金制度。</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管理中心应当对单位住房公积金制度实施情况进行检查，必要时可对单位实施委托审计；被检查单位应当如实提供有关情况，任何单位和个人不得拒绝。</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第四十一条</w:t>
      </w:r>
      <w:r>
        <w:rPr>
          <w:rFonts w:ascii="黑体" w:hAnsi="黑体" w:cs="黑体" w:eastAsia="黑体"/>
          <w:sz w:val="32"/>
          <w:szCs w:val="32"/>
        </w:rPr>
        <w:t xml:space="preserve"> </w:t>
      </w:r>
      <w:r>
        <w:rPr>
          <w:rFonts w:ascii="仿宋" w:hAnsi="仿宋" w:cs="仿宋" w:eastAsia="仿宋"/>
          <w:sz w:val="32"/>
          <w:szCs w:val="32"/>
        </w:rPr>
        <w:t xml:space="preserve"> </w:t>
      </w:r>
      <w:r>
        <w:rPr>
          <w:rFonts w:ascii="仿宋_GB2312" w:hAnsi="仿宋_GB2312" w:cs="仿宋" w:hint="eastAsia" w:eastAsia="仿宋_GB2312"/>
          <w:sz w:val="32"/>
          <w:szCs w:val="32"/>
        </w:rPr>
        <w:t>管理中心应当督促受委托银行及时办理委托合同约定的存贷款、结算等金融业务。</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受委托银行应当按照委托合同的约定，定期向管理中心提供有关的业务资料。</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第四十二条</w:t>
      </w:r>
      <w:r>
        <w:rPr>
          <w:rFonts w:ascii="仿宋" w:hAnsi="仿宋" w:cs="仿宋" w:eastAsia="仿宋"/>
          <w:sz w:val="32"/>
          <w:szCs w:val="32"/>
        </w:rPr>
        <w:t xml:space="preserve">  </w:t>
      </w:r>
      <w:r>
        <w:rPr>
          <w:rFonts w:ascii="仿宋_GB2312" w:hAnsi="仿宋_GB2312" w:cs="仿宋" w:hint="eastAsia" w:eastAsia="仿宋_GB2312"/>
          <w:sz w:val="32"/>
          <w:szCs w:val="32"/>
        </w:rPr>
        <w:t>职工、单位有权查询本人、本单位住房公积金的缴存、提取等情况，管理中心应及时提供。</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职工、单位对住房公积金账户内的存储余额有异议的，可以申请管理中心复核，管理中心应立即答复，不能立即答复的应在</w:t>
      </w:r>
      <w:r>
        <w:rPr>
          <w:rFonts w:eastAsia="仿宋_GB2312" w:cs="仿宋" w:hint="eastAsia" w:ascii="仿宋_GB2312" w:hAnsi="仿宋_GB2312"/>
          <w:sz w:val="32"/>
          <w:szCs w:val="32"/>
        </w:rPr>
        <w:t>5</w:t>
      </w:r>
      <w:r>
        <w:rPr>
          <w:rFonts w:ascii="仿宋_GB2312" w:hAnsi="仿宋_GB2312" w:cs="仿宋" w:hint="eastAsia" w:eastAsia="仿宋_GB2312"/>
          <w:sz w:val="32"/>
          <w:szCs w:val="32"/>
        </w:rPr>
        <w:t>日内答复。</w:t>
      </w:r>
    </w:p>
    <w:p>
      <w:pPr>
        <w:pStyle w:val="Normal"/>
        <w:spacing w:lineRule="exact" w:line="560"/>
        <w:ind w:firstLineChars="200" w:startChars="0" w:start="0" w:endChars="0" w:end="0"/>
        <w:rPr>
          <w:rFonts w:ascii="仿宋" w:hAnsi="仿宋" w:eastAsia="仿宋" w:cs="仿宋"/>
          <w:sz w:val="32"/>
          <w:szCs w:val="32"/>
        </w:rPr>
      </w:pPr>
      <w:r>
        <w:rPr>
          <w:rFonts w:ascii="黑体" w:hAnsi="黑体" w:cs="黑体" w:hint="eastAsia" w:eastAsia="黑体"/>
          <w:sz w:val="32"/>
          <w:szCs w:val="32"/>
        </w:rPr>
        <w:t>第四十三条</w:t>
      </w:r>
      <w:r>
        <w:rPr>
          <w:rFonts w:ascii="黑体" w:hAnsi="黑体" w:cs="黑体" w:eastAsia="黑体"/>
          <w:sz w:val="32"/>
          <w:szCs w:val="32"/>
        </w:rPr>
        <w:t xml:space="preserve"> </w:t>
      </w:r>
      <w:r>
        <w:rPr>
          <w:rFonts w:ascii="仿宋" w:hAnsi="仿宋" w:cs="仿宋" w:eastAsia="仿宋"/>
          <w:sz w:val="32"/>
          <w:szCs w:val="32"/>
        </w:rPr>
        <w:t xml:space="preserve"> </w:t>
      </w:r>
      <w:r>
        <w:rPr>
          <w:rFonts w:ascii="仿宋_GB2312" w:hAnsi="仿宋_GB2312" w:cs="仿宋" w:hint="eastAsia" w:eastAsia="仿宋_GB2312"/>
          <w:sz w:val="32"/>
          <w:szCs w:val="32"/>
        </w:rPr>
        <w:t>管理中心和缴存单位实行年度住房公积金对账制度。管理中心应于每年</w:t>
      </w:r>
      <w:r>
        <w:rPr>
          <w:rFonts w:eastAsia="仿宋_GB2312" w:cs="仿宋" w:hint="eastAsia" w:ascii="仿宋_GB2312" w:hAnsi="仿宋_GB2312"/>
          <w:sz w:val="32"/>
          <w:szCs w:val="32"/>
        </w:rPr>
        <w:t>12</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31</w:t>
      </w:r>
      <w:r>
        <w:rPr>
          <w:rFonts w:ascii="仿宋_GB2312" w:hAnsi="仿宋_GB2312" w:cs="仿宋" w:hint="eastAsia" w:eastAsia="仿宋_GB2312"/>
          <w:sz w:val="32"/>
          <w:szCs w:val="32"/>
        </w:rPr>
        <w:t>日住房公积金结账后</w:t>
      </w:r>
      <w:r>
        <w:rPr>
          <w:rFonts w:eastAsia="仿宋_GB2312" w:cs="仿宋" w:hint="eastAsia" w:ascii="仿宋_GB2312" w:hAnsi="仿宋_GB2312"/>
          <w:sz w:val="32"/>
          <w:szCs w:val="32"/>
        </w:rPr>
        <w:t>30</w:t>
      </w:r>
      <w:r>
        <w:rPr>
          <w:rFonts w:ascii="仿宋_GB2312" w:hAnsi="仿宋_GB2312" w:cs="仿宋" w:hint="eastAsia" w:eastAsia="仿宋_GB2312"/>
          <w:sz w:val="32"/>
          <w:szCs w:val="32"/>
        </w:rPr>
        <w:t>日内向单位提供对账单。缴存单位应在领取对账单后</w:t>
      </w:r>
      <w:r>
        <w:rPr>
          <w:rFonts w:eastAsia="仿宋_GB2312" w:cs="仿宋" w:hint="eastAsia" w:ascii="仿宋_GB2312" w:hAnsi="仿宋_GB2312"/>
          <w:sz w:val="32"/>
          <w:szCs w:val="32"/>
        </w:rPr>
        <w:t>20</w:t>
      </w:r>
      <w:r>
        <w:rPr>
          <w:rFonts w:ascii="仿宋_GB2312" w:hAnsi="仿宋_GB2312" w:cs="仿宋" w:hint="eastAsia" w:eastAsia="仿宋_GB2312"/>
          <w:sz w:val="32"/>
          <w:szCs w:val="32"/>
        </w:rPr>
        <w:t>日内将对账结果报管理中心</w:t>
      </w:r>
      <w:r>
        <w:rPr>
          <w:rFonts w:ascii="仿宋" w:hAnsi="仿宋" w:cs="仿宋" w:hint="eastAsia" w:eastAsia="仿宋"/>
          <w:sz w:val="32"/>
          <w:szCs w:val="32"/>
        </w:rPr>
        <w:t>。</w:t>
      </w:r>
    </w:p>
    <w:p>
      <w:pPr>
        <w:pStyle w:val="Heading1"/>
        <w:ind w:hanging="0" w:start="0"/>
        <w:rPr>
          <w:rFonts w:ascii="宋体" w:hAnsi="宋体" w:eastAsia="宋体" w:cs="宋体"/>
          <w:sz w:val="32"/>
          <w:szCs w:val="32"/>
        </w:rPr>
      </w:pPr>
      <w:r>
        <w:rPr>
          <w:rFonts w:eastAsia="宋体" w:cs="宋体" w:ascii="宋体" w:hAnsi="宋体"/>
          <w:sz w:val="32"/>
          <w:szCs w:val="32"/>
        </w:rPr>
      </w:r>
      <w:bookmarkStart w:id="6" w:name="__RefHeading___Toc106"/>
    </w:p>
    <w:p>
      <w:pPr>
        <w:pStyle w:val="Heading1"/>
        <w:ind w:hanging="0" w:start="0"/>
        <w:rPr/>
      </w:pPr>
      <w:r>
        <w:rPr>
          <w:rFonts w:hint="eastAsia"/>
        </w:rPr>
        <w:t>第六章</w:t>
      </w:r>
      <w:r>
        <w:rPr/>
        <w:t xml:space="preserve">  </w:t>
      </w:r>
      <w:r>
        <w:rPr>
          <w:rFonts w:hint="eastAsia"/>
        </w:rPr>
        <w:t>法律责任</w:t>
      </w:r>
      <w:bookmarkEnd w:id="6"/>
    </w:p>
    <w:p>
      <w:pPr>
        <w:pStyle w:val="Normal"/>
        <w:spacing w:lineRule="exact" w:line="560"/>
        <w:ind w:firstLineChars="200" w:startChars="0" w:start="0" w:endChars="0" w:end="0"/>
        <w:rPr>
          <w:rFonts w:ascii="宋体" w:hAnsi="宋体" w:cs="黑体"/>
          <w:sz w:val="32"/>
          <w:szCs w:val="32"/>
        </w:rPr>
      </w:pPr>
      <w:r>
        <w:rPr>
          <w:rFonts w:cs="黑体" w:ascii="宋体" w:hAnsi="宋体"/>
          <w:sz w:val="32"/>
          <w:szCs w:val="32"/>
        </w:rPr>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第四十四条</w:t>
      </w:r>
      <w:r>
        <w:rPr>
          <w:rFonts w:ascii="黑体" w:hAnsi="黑体" w:cs="黑体" w:eastAsia="黑体"/>
          <w:sz w:val="32"/>
          <w:szCs w:val="32"/>
        </w:rPr>
        <w:t xml:space="preserve"> </w:t>
      </w:r>
      <w:r>
        <w:rPr>
          <w:rFonts w:ascii="仿宋" w:hAnsi="仿宋" w:cs="仿宋" w:eastAsia="仿宋"/>
          <w:sz w:val="32"/>
          <w:szCs w:val="32"/>
        </w:rPr>
        <w:t xml:space="preserve"> </w:t>
      </w:r>
      <w:r>
        <w:rPr>
          <w:rFonts w:ascii="仿宋_GB2312" w:hAnsi="仿宋_GB2312" w:cs="仿宋" w:hint="eastAsia" w:eastAsia="仿宋_GB2312"/>
          <w:sz w:val="32"/>
          <w:szCs w:val="32"/>
        </w:rPr>
        <w:t>违反本条例第九条规定，单位不办理住房公积金缴存登记或者不为本</w:t>
      </w:r>
    </w:p>
    <w:p>
      <w:pPr>
        <w:pStyle w:val="Normal"/>
        <w:spacing w:lineRule="exact" w:line="560"/>
        <w:ind w:firstLineChars="200" w:startChars="0" w:start="0" w:endChars="0" w:end="0"/>
        <w:rPr>
          <w:rFonts w:ascii="仿宋" w:hAnsi="仿宋" w:eastAsia="仿宋" w:cs="仿宋"/>
          <w:sz w:val="32"/>
          <w:szCs w:val="32"/>
        </w:rPr>
      </w:pPr>
      <w:r>
        <w:rPr>
          <w:rFonts w:ascii="仿宋_GB2312" w:hAnsi="仿宋_GB2312" w:cs="仿宋" w:hint="eastAsia" w:eastAsia="仿宋_GB2312"/>
          <w:sz w:val="32"/>
          <w:szCs w:val="32"/>
        </w:rPr>
        <w:t>单位职工办理住房公积金账户设立手续的，由管理中心责令限期办理；逾期不办理的，处</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万元以上</w:t>
      </w:r>
      <w:r>
        <w:rPr>
          <w:rFonts w:eastAsia="仿宋_GB2312" w:cs="仿宋" w:hint="eastAsia" w:ascii="仿宋_GB2312" w:hAnsi="仿宋_GB2312"/>
          <w:sz w:val="32"/>
          <w:szCs w:val="32"/>
        </w:rPr>
        <w:t>5</w:t>
      </w:r>
      <w:r>
        <w:rPr>
          <w:rFonts w:ascii="仿宋_GB2312" w:hAnsi="仿宋_GB2312" w:cs="仿宋" w:hint="eastAsia" w:eastAsia="仿宋_GB2312"/>
          <w:sz w:val="32"/>
          <w:szCs w:val="32"/>
        </w:rPr>
        <w:t>万元以下的罚款。</w:t>
      </w:r>
      <w:r>
        <w:rPr>
          <w:rFonts w:ascii="仿宋" w:hAnsi="仿宋" w:cs="仿宋" w:eastAsia="仿宋"/>
          <w:sz w:val="32"/>
          <w:szCs w:val="32"/>
        </w:rPr>
        <w:t xml:space="preserve">  </w:t>
      </w:r>
    </w:p>
    <w:p>
      <w:pPr>
        <w:pStyle w:val="Normal"/>
        <w:spacing w:lineRule="exact" w:line="560"/>
        <w:ind w:firstLineChars="200" w:startChars="0" w:start="0" w:endChars="0" w:end="0"/>
        <w:rPr>
          <w:rFonts w:ascii="仿宋" w:hAnsi="仿宋" w:eastAsia="仿宋" w:cs="仿宋"/>
          <w:sz w:val="32"/>
          <w:szCs w:val="32"/>
        </w:rPr>
      </w:pPr>
      <w:r>
        <w:rPr>
          <w:rFonts w:ascii="黑体" w:hAnsi="黑体" w:cs="黑体" w:hint="eastAsia" w:eastAsia="黑体"/>
          <w:sz w:val="32"/>
          <w:szCs w:val="32"/>
        </w:rPr>
        <w:t>第四十五条</w:t>
      </w:r>
      <w:r>
        <w:rPr>
          <w:rFonts w:ascii="黑体" w:hAnsi="黑体" w:cs="黑体" w:eastAsia="黑体"/>
          <w:sz w:val="32"/>
          <w:szCs w:val="32"/>
        </w:rPr>
        <w:t xml:space="preserve"> </w:t>
      </w:r>
      <w:r>
        <w:rPr>
          <w:rFonts w:ascii="仿宋_GB2312" w:hAnsi="仿宋_GB2312" w:cs="仿宋" w:hint="eastAsia" w:eastAsia="仿宋_GB2312"/>
          <w:sz w:val="32"/>
          <w:szCs w:val="32"/>
        </w:rPr>
        <w:t xml:space="preserve"> 违反本条例第十四条规定，单位逾期不缴或者少缴住房公积金的，由管理中心责令限期缴存；逾期仍不缴存的，依法申请人民法院强制执行。</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第四十六条</w:t>
      </w:r>
      <w:r>
        <w:rPr>
          <w:rFonts w:ascii="仿宋" w:hAnsi="仿宋" w:cs="仿宋" w:eastAsia="仿宋"/>
          <w:sz w:val="32"/>
          <w:szCs w:val="32"/>
        </w:rPr>
        <w:t xml:space="preserve"> </w:t>
      </w:r>
      <w:r>
        <w:rPr>
          <w:rFonts w:ascii="仿宋_GB2312" w:hAnsi="仿宋_GB2312" w:cs="仿宋" w:hint="eastAsia" w:eastAsia="仿宋_GB2312"/>
          <w:sz w:val="32"/>
          <w:szCs w:val="32"/>
        </w:rPr>
        <w:t xml:space="preserve"> 违反本条例第三十条规定，采取欺骗手段提取住房公积金的，由管理中心追回骗取的住房公积金，构成犯罪的，依法追究刑事责任；尚不构成犯罪的，依法给予行政处分。</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第四十七条</w:t>
      </w:r>
      <w:r>
        <w:rPr>
          <w:rFonts w:ascii="仿宋" w:hAnsi="仿宋" w:cs="仿宋" w:eastAsia="仿宋"/>
          <w:sz w:val="32"/>
          <w:szCs w:val="32"/>
        </w:rPr>
        <w:t xml:space="preserve">  </w:t>
      </w:r>
      <w:r>
        <w:rPr>
          <w:rFonts w:ascii="仿宋_GB2312" w:hAnsi="仿宋_GB2312" w:cs="仿宋" w:hint="eastAsia" w:eastAsia="仿宋_GB2312"/>
          <w:sz w:val="32"/>
          <w:szCs w:val="32"/>
        </w:rPr>
        <w:t>违反本条例第三十三条规定，挪用住房公积金的，按照国家有关规定，追回挪用的住房公积金，没收违法所得；对挪用或者批准挪用住房公积金的负责人员和其他直接责任人员，给予行政处分；构成犯罪的，依法追究刑事责任。</w:t>
      </w:r>
    </w:p>
    <w:p>
      <w:pPr>
        <w:pStyle w:val="Normal"/>
        <w:spacing w:lineRule="exact" w:line="560"/>
        <w:ind w:firstLineChars="200" w:startChars="0" w:start="0" w:endChars="0" w:end="0"/>
        <w:rPr>
          <w:rFonts w:ascii="仿宋" w:hAnsi="仿宋" w:eastAsia="仿宋" w:cs="仿宋"/>
          <w:sz w:val="32"/>
          <w:szCs w:val="32"/>
        </w:rPr>
      </w:pPr>
      <w:r>
        <w:rPr>
          <w:rFonts w:ascii="黑体" w:hAnsi="黑体" w:cs="黑体" w:hint="eastAsia" w:eastAsia="黑体"/>
          <w:sz w:val="32"/>
          <w:szCs w:val="32"/>
        </w:rPr>
        <w:t>第四十八条</w:t>
      </w:r>
      <w:r>
        <w:rPr>
          <w:rFonts w:ascii="仿宋" w:hAnsi="仿宋" w:cs="仿宋" w:eastAsia="仿宋"/>
          <w:sz w:val="32"/>
          <w:szCs w:val="32"/>
        </w:rPr>
        <w:t xml:space="preserve">  </w:t>
      </w:r>
      <w:r>
        <w:rPr>
          <w:rFonts w:ascii="仿宋_GB2312" w:hAnsi="仿宋_GB2312" w:cs="仿宋" w:hint="eastAsia" w:eastAsia="仿宋_GB2312"/>
          <w:sz w:val="32"/>
          <w:szCs w:val="32"/>
        </w:rPr>
        <w:t>违反本条例第三十三条第二款规定，管理中心向他人提供担保的，对直接负责的主管人员和其他直接责任人员依法给予行政处分。</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第四十九条</w:t>
      </w:r>
      <w:r>
        <w:rPr>
          <w:rFonts w:ascii="黑体" w:hAnsi="黑体" w:cs="黑体" w:eastAsia="黑体"/>
          <w:sz w:val="32"/>
          <w:szCs w:val="32"/>
        </w:rPr>
        <w:t xml:space="preserve">  </w:t>
      </w:r>
      <w:r>
        <w:rPr>
          <w:rFonts w:ascii="仿宋_GB2312" w:hAnsi="仿宋_GB2312" w:cs="仿宋" w:hint="eastAsia" w:eastAsia="仿宋_GB2312"/>
          <w:sz w:val="32"/>
          <w:szCs w:val="32"/>
        </w:rPr>
        <w:t>违反本条例第三十八条规定，不办理住房公积金账户变更登记，不为本单位职工办理账户转移、封存、注销手续的，由管理中心责令限期办理，逾期不办理的，处</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 xml:space="preserve">万元以上 </w:t>
      </w:r>
      <w:r>
        <w:rPr>
          <w:rFonts w:eastAsia="仿宋_GB2312" w:cs="仿宋" w:hint="eastAsia" w:ascii="仿宋_GB2312" w:hAnsi="仿宋_GB2312"/>
          <w:sz w:val="32"/>
          <w:szCs w:val="32"/>
        </w:rPr>
        <w:t>5</w:t>
      </w:r>
      <w:r>
        <w:rPr>
          <w:rFonts w:ascii="仿宋_GB2312" w:hAnsi="仿宋_GB2312" w:cs="仿宋" w:hint="eastAsia" w:eastAsia="仿宋_GB2312"/>
          <w:sz w:val="32"/>
          <w:szCs w:val="32"/>
        </w:rPr>
        <w:t>万元以下的罚款。</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第五十条</w:t>
      </w:r>
      <w:r>
        <w:rPr>
          <w:rFonts w:ascii="黑体" w:hAnsi="黑体" w:cs="黑体" w:eastAsia="黑体"/>
          <w:sz w:val="32"/>
          <w:szCs w:val="32"/>
        </w:rPr>
        <w:t xml:space="preserve"> </w:t>
      </w:r>
      <w:r>
        <w:rPr>
          <w:rFonts w:ascii="仿宋" w:hAnsi="仿宋" w:cs="仿宋" w:eastAsia="仿宋"/>
          <w:sz w:val="32"/>
          <w:szCs w:val="32"/>
        </w:rPr>
        <w:t xml:space="preserve"> </w:t>
      </w:r>
      <w:r>
        <w:rPr>
          <w:rFonts w:ascii="仿宋_GB2312" w:hAnsi="仿宋_GB2312" w:cs="仿宋" w:hint="eastAsia" w:eastAsia="仿宋_GB2312"/>
          <w:sz w:val="32"/>
          <w:szCs w:val="32"/>
        </w:rPr>
        <w:t>管理中心违反本条例规定，有下列行为之一的，由市人民政府相关行政主管部门依据管理职权，责令限期改正；对负有责任的主管人员和其他直接责任人员，依法给予行政处分：</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（一）未按照规定设立住房公积金专户的；</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（二）未按照规定审批职工提取、使用住房公积金的；</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（三）未按照规定使用住房公积金增值收益的；</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（四）委托管委会指定的银行以外的机构办理住房公积金金融业务的；</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（五）未建立职工住房公积金明细账的；</w:t>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（六）未按照规定用住房公积金购买国债的。</w:t>
      </w:r>
    </w:p>
    <w:p>
      <w:pPr>
        <w:pStyle w:val="Heading1"/>
        <w:ind w:hanging="0" w:start="0"/>
        <w:rPr>
          <w:rFonts w:ascii="宋体" w:hAnsi="宋体" w:eastAsia="宋体" w:cs="宋体" w:hint="eastAsia"/>
          <w:sz w:val="32"/>
          <w:szCs w:val="32"/>
        </w:rPr>
      </w:pPr>
      <w:r>
        <w:rPr>
          <w:rFonts w:eastAsia="宋体" w:cs="宋体" w:hint="eastAsia" w:ascii="宋体" w:hAnsi="宋体"/>
          <w:sz w:val="32"/>
          <w:szCs w:val="32"/>
        </w:rPr>
      </w:r>
      <w:bookmarkStart w:id="7" w:name="__RefHeading___Toc10509"/>
    </w:p>
    <w:p>
      <w:pPr>
        <w:pStyle w:val="Heading1"/>
        <w:ind w:hanging="0" w:start="0"/>
        <w:rPr/>
      </w:pPr>
      <w:r>
        <w:rPr>
          <w:rFonts w:hint="eastAsia"/>
        </w:rPr>
        <w:t>第七章</w:t>
      </w:r>
      <w:r>
        <w:rPr/>
        <w:t xml:space="preserve">  </w:t>
      </w:r>
      <w:r>
        <w:rPr>
          <w:rFonts w:hint="eastAsia"/>
        </w:rPr>
        <w:t>附则</w:t>
      </w:r>
      <w:bookmarkEnd w:id="7"/>
    </w:p>
    <w:p>
      <w:pPr>
        <w:pStyle w:val="Normal"/>
        <w:spacing w:lineRule="exact" w:line="560"/>
        <w:ind w:firstLineChars="200" w:startChars="0" w:start="0" w:endChars="0" w:end="0"/>
        <w:rPr>
          <w:rFonts w:ascii="宋体" w:hAnsi="宋体" w:cs="黑体"/>
          <w:sz w:val="32"/>
          <w:szCs w:val="32"/>
        </w:rPr>
      </w:pPr>
      <w:r>
        <w:rPr>
          <w:rFonts w:cs="黑体" w:ascii="宋体" w:hAnsi="宋体"/>
          <w:sz w:val="32"/>
          <w:szCs w:val="32"/>
        </w:rPr>
      </w:r>
    </w:p>
    <w:p>
      <w:pPr>
        <w:pStyle w:val="Normal"/>
        <w:spacing w:lineRule="exact" w:line="56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第五十一条</w:t>
      </w:r>
      <w:r>
        <w:rPr>
          <w:rFonts w:ascii="仿宋" w:hAnsi="仿宋" w:cs="仿宋" w:eastAsia="仿宋"/>
          <w:sz w:val="32"/>
          <w:szCs w:val="32"/>
        </w:rPr>
        <w:t xml:space="preserve">  </w:t>
      </w:r>
      <w:r>
        <w:rPr>
          <w:rFonts w:ascii="仿宋_GB2312" w:hAnsi="仿宋_GB2312" w:cs="仿宋" w:hint="eastAsia" w:eastAsia="仿宋_GB2312"/>
          <w:sz w:val="32"/>
          <w:szCs w:val="32"/>
        </w:rPr>
        <w:t>进城务工人员和自由职业人员可参照本条例执行。</w:t>
      </w:r>
    </w:p>
    <w:p>
      <w:pPr>
        <w:pStyle w:val="Normal"/>
        <w:spacing w:lineRule="exact" w:line="560"/>
        <w:ind w:firstLineChars="200" w:startChars="0" w:start="0" w:endChars="0" w:end="0"/>
        <w:rPr>
          <w:rFonts w:ascii="仿宋" w:hAnsi="仿宋" w:eastAsia="仿宋" w:cs="仿宋"/>
          <w:sz w:val="32"/>
          <w:szCs w:val="32"/>
        </w:rPr>
      </w:pPr>
      <w:r>
        <w:rPr>
          <w:rFonts w:ascii="黑体" w:hAnsi="黑体" w:cs="黑体" w:hint="eastAsia" w:eastAsia="黑体"/>
          <w:sz w:val="32"/>
          <w:szCs w:val="32"/>
        </w:rPr>
        <w:t>第五十二条</w:t>
      </w:r>
      <w:r>
        <w:rPr>
          <w:rFonts w:ascii="黑体" w:hAnsi="黑体" w:cs="黑体" w:eastAsia="黑体"/>
          <w:sz w:val="32"/>
          <w:szCs w:val="32"/>
        </w:rPr>
        <w:t xml:space="preserve"> </w:t>
      </w:r>
      <w:r>
        <w:rPr>
          <w:rFonts w:ascii="仿宋" w:hAnsi="仿宋" w:cs="仿宋" w:eastAsia="仿宋"/>
          <w:sz w:val="32"/>
          <w:szCs w:val="32"/>
        </w:rPr>
        <w:t xml:space="preserve"> </w:t>
      </w:r>
      <w:r>
        <w:rPr>
          <w:rFonts w:ascii="仿宋_GB2312" w:hAnsi="仿宋_GB2312" w:cs="仿宋" w:hint="eastAsia" w:eastAsia="仿宋_GB2312"/>
          <w:sz w:val="32"/>
          <w:szCs w:val="32"/>
        </w:rPr>
        <w:t>本条例自</w:t>
      </w:r>
      <w:r>
        <w:rPr>
          <w:rFonts w:eastAsia="仿宋_GB2312" w:cs="仿宋" w:hint="eastAsia" w:ascii="仿宋_GB2312" w:hAnsi="仿宋_GB2312"/>
          <w:sz w:val="32"/>
          <w:szCs w:val="32"/>
        </w:rPr>
        <w:t>2006</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日起施行。</w:t>
      </w:r>
    </w:p>
    <w:p>
      <w:pPr>
        <w:pStyle w:val="Normal"/>
        <w:rPr>
          <w:rFonts w:ascii="仿宋" w:hAnsi="仿宋" w:eastAsia="仿宋" w:cs="仿宋"/>
          <w:sz w:val="32"/>
          <w:szCs w:val="32"/>
        </w:rPr>
      </w:pPr>
      <w:r>
        <w:rPr>
          <w:rFonts w:eastAsia="仿宋" w:cs="仿宋" w:ascii="仿宋" w:hAnsi="仿宋"/>
          <w:sz w:val="32"/>
          <w:szCs w:val="32"/>
        </w:rPr>
      </w:r>
    </w:p>
    <w:sectPr>
      <w:footerReference w:type="even" r:id="rId2"/>
      <w:footerReference w:type="default" r:id="rId3"/>
      <w:type w:val="nextPage"/>
      <w:pgSz w:w="11906" w:h="16838"/>
      <w:pgMar w:left="1588" w:right="1474" w:gutter="0" w:header="0" w:top="1984" w:footer="1588"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Arial">
    <w:charset w:val="01"/>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
    <w:charset w:val="86"/>
    <w:family w:val="roma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page">
                <wp:posOffset>1237615</wp:posOffset>
              </wp:positionH>
              <wp:positionV relativeFrom="paragraph">
                <wp:posOffset>1905</wp:posOffset>
              </wp:positionV>
              <wp:extent cx="198120"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15pt;mso-position-vertical-relative:text;margin-left:97.45pt;mso-position-horizontal-relative:page">
              <v:fill opacity="0f"/>
              <v:textbox inset="0in,0in,0in,0in">
                <w:txbxContent>
                  <w:p>
                    <w:pPr>
                      <w:pStyle w:val="Footer"/>
                      <w:rPr>
                        <w:rStyle w:val="PageNumbe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page">
                <wp:posOffset>6152515</wp:posOffset>
              </wp:positionH>
              <wp:positionV relativeFrom="paragraph">
                <wp:posOffset>1905</wp:posOffset>
              </wp:positionV>
              <wp:extent cx="19812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15pt;mso-position-vertical-relative:text;margin-left:484.45pt;mso-position-horizontal-relative:page">
              <v:fill opacity="0f"/>
              <v:textbox inset="0in,0in,0in,0in">
                <w:txbxContent>
                  <w:p>
                    <w:pPr>
                      <w:pStyle w:val="Footer"/>
                      <w:rPr>
                        <w:rStyle w:val="PageNumbe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exact" w:line="560"/>
      <w:jc w:val="center"/>
      <w:outlineLvl w:val="0"/>
    </w:pPr>
    <w:rPr>
      <w:rFonts w:eastAsia="黑体"/>
      <w:kern w:val="2"/>
      <w:sz w:val="32"/>
    </w:rPr>
  </w:style>
  <w:style w:type="paragraph" w:styleId="Heading2">
    <w:name w:val="heading 2"/>
    <w:basedOn w:val="Normal"/>
    <w:next w:val="Normal"/>
    <w:qFormat/>
    <w:pPr>
      <w:keepNext w:val="true"/>
      <w:keepLines/>
      <w:numPr>
        <w:ilvl w:val="1"/>
        <w:numId w:val="1"/>
      </w:numPr>
      <w:spacing w:lineRule="auto" w:line="413"/>
      <w:jc w:val="center"/>
      <w:outlineLvl w:val="1"/>
    </w:pPr>
    <w:rPr>
      <w:rFonts w:ascii="Arial" w:hAnsi="Arial" w:cs="Arial"/>
      <w:sz w:val="44"/>
    </w:rPr>
  </w:style>
  <w:style w:type="character" w:styleId="Style12">
    <w:name w:val="默认段落字体"/>
    <w:qFormat/>
    <w:rPr/>
  </w:style>
  <w:style w:type="character" w:styleId="PageNumber">
    <w:name w:val="page number"/>
    <w:basedOn w:val="Style12"/>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pPr>
      <w:spacing w:lineRule="exact" w:line="560"/>
      <w:ind w:firstLineChars="200" w:startChars="0" w:start="0" w:endChars="0" w:end="0"/>
    </w:pPr>
    <w:rPr>
      <w:rFonts w:eastAsia="楷体"/>
      <w:sz w:val="32"/>
    </w:rPr>
  </w:style>
  <w:style w:type="paragraph" w:styleId="000">
    <w:name w:val="题注000"/>
    <w:basedOn w:val="Normal"/>
    <w:qFormat/>
    <w:pPr>
      <w:spacing w:lineRule="exact" w:line="560"/>
      <w:ind w:firstLineChars="0" w:firstLine="0" w:startChars="300" w:endChars="300"/>
    </w:pPr>
    <w:rPr>
      <w:rFonts w:eastAsia="楷体"/>
      <w:sz w:val="32"/>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cs="Times New Roman"/>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2020-08-20T09:49:00Z</dcterms:created>
  <dc:creator>Microsoft</dc:creator>
  <dc:description/>
  <dc:language>en-US</dc:language>
  <cp:lastModifiedBy>Microsoft</cp:lastModifiedBy>
  <dcterms:modified xsi:type="dcterms:W3CDTF">2020-09-10T16:53:39Z</dcterms:modified>
  <cp:revision>7</cp:revision>
  <dc:subject/>
  <dc:title>本溪市住房公积金管理条例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