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辽宁省突发事件应对条例</w:t>
      </w:r>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keepLines w:val="false"/>
        <w:pageBreakBefore w:val="false"/>
        <w:widowControl w:val="false"/>
        <w:kinsoku w:val="true"/>
        <w:overflowPunct w:val="true"/>
        <w:autoSpaceDE w:val="true"/>
        <w:bidi w:val="0"/>
        <w:snapToGrid w:val="true"/>
        <w:spacing w:lineRule="exact" w:line="570"/>
        <w:textAlignment w:val="auto"/>
        <w:rPr>
          <w:rFonts w:ascii="楷体" w:hAnsi="楷体" w:eastAsia="楷体" w:cs="楷体" w:hint="eastAsia"/>
          <w:color w:val="000000"/>
          <w:szCs w:val="32"/>
        </w:rPr>
      </w:pPr>
      <w:r>
        <w:rPr>
          <w:rFonts w:hint="eastAsia"/>
          <w:color w:val="000000"/>
        </w:rPr>
        <w:t>（</w:t>
      </w:r>
      <w:r>
        <w:rPr>
          <w:rFonts w:hint="eastAsia"/>
          <w:color w:val="000000"/>
        </w:rPr>
        <w:t>2009</w:t>
      </w:r>
      <w:r>
        <w:rPr>
          <w:rFonts w:hint="eastAsia"/>
          <w:color w:val="000000"/>
        </w:rPr>
        <w:t>年</w:t>
      </w:r>
      <w:r>
        <w:rPr>
          <w:rFonts w:hint="eastAsia"/>
          <w:color w:val="000000"/>
        </w:rPr>
        <w:t>7</w:t>
      </w:r>
      <w:r>
        <w:rPr>
          <w:rFonts w:hint="eastAsia"/>
          <w:color w:val="000000"/>
        </w:rPr>
        <w:t>月</w:t>
      </w:r>
      <w:r>
        <w:rPr>
          <w:rFonts w:hint="eastAsia"/>
          <w:color w:val="000000"/>
        </w:rPr>
        <w:t>31</w:t>
      </w:r>
      <w:r>
        <w:rPr>
          <w:rFonts w:hint="eastAsia"/>
          <w:color w:val="000000"/>
        </w:rPr>
        <w:t xml:space="preserve">日辽宁省第十一届人民代表大会常务委员会第十次会议通过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件地方性法规的决定》修正）</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Lines w:val="false"/>
        <w:pageBreakBefore w:val="false"/>
        <w:widowControl w:val="false"/>
        <w:kinsoku w:val="true"/>
        <w:overflowPunct w:val="true"/>
        <w:autoSpaceDE w:val="true"/>
        <w:bidi w:val="0"/>
        <w:snapToGrid w:val="true"/>
        <w:spacing w:lineRule="exact" w:line="57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10906">
            <w:r>
              <w:rPr>
                <w:rStyle w:val="IndexLink"/>
                <w:rFonts w:ascii="楷体" w:hAnsi="楷体" w:cs="楷体" w:hint="eastAsia" w:eastAsia="楷体"/>
                <w:color w:val="000000"/>
                <w:sz w:val="32"/>
                <w:szCs w:val="32"/>
              </w:rPr>
              <w:t>第一章  总则</w:t>
            </w:r>
          </w:hyperlink>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3328">
            <w:r>
              <w:rPr>
                <w:rStyle w:val="IndexLink"/>
                <w:rFonts w:ascii="楷体" w:hAnsi="楷体" w:cs="楷体" w:hint="eastAsia" w:eastAsia="楷体"/>
                <w:color w:val="000000"/>
                <w:sz w:val="32"/>
                <w:szCs w:val="32"/>
              </w:rPr>
              <w:t>第二章  预防与应急准备</w:t>
            </w:r>
          </w:hyperlink>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7458">
            <w:r>
              <w:rPr>
                <w:rStyle w:val="IndexLink"/>
                <w:rFonts w:ascii="楷体" w:hAnsi="楷体" w:cs="楷体" w:hint="eastAsia" w:eastAsia="楷体"/>
                <w:color w:val="000000"/>
                <w:sz w:val="32"/>
                <w:szCs w:val="32"/>
              </w:rPr>
              <w:t>第三章  信息报告与监测预警</w:t>
            </w:r>
          </w:hyperlink>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647">
            <w:r>
              <w:rPr>
                <w:rStyle w:val="IndexLink"/>
                <w:rFonts w:ascii="楷体" w:hAnsi="楷体" w:cs="楷体" w:hint="eastAsia" w:eastAsia="楷体"/>
                <w:color w:val="000000"/>
                <w:sz w:val="32"/>
                <w:szCs w:val="32"/>
              </w:rPr>
              <w:t>第四章  应急处置</w:t>
            </w:r>
          </w:hyperlink>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32">
            <w:r>
              <w:rPr>
                <w:rStyle w:val="IndexLink"/>
                <w:rFonts w:ascii="楷体" w:hAnsi="楷体" w:cs="楷体" w:hint="eastAsia" w:eastAsia="楷体"/>
                <w:color w:val="000000"/>
                <w:sz w:val="32"/>
                <w:szCs w:val="32"/>
              </w:rPr>
              <w:t>第五章  善后处理</w:t>
            </w:r>
          </w:hyperlink>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6517">
            <w:r>
              <w:rPr>
                <w:rStyle w:val="IndexLink"/>
                <w:rFonts w:ascii="楷体" w:hAnsi="楷体" w:cs="楷体" w:hint="eastAsia" w:eastAsia="楷体"/>
                <w:color w:val="000000"/>
                <w:sz w:val="32"/>
                <w:szCs w:val="32"/>
              </w:rPr>
              <w:t>第六章  法律责任和附则</w:t>
            </w:r>
          </w:hyperlink>
          <w:r>
            <w:rPr>
              <w:rStyle w:val="IndexLink"/>
              <w:rFonts w:ascii="楷体" w:hAnsi="楷体" w:cs="楷体" w:hint="eastAsia" w:eastAsia="楷体"/>
              <w:color w:val="000000"/>
              <w:sz w:val="32"/>
              <w:szCs w:val="32"/>
            </w:rPr>
            <w:fldChar w:fldCharType="end"/>
          </w:r>
        </w:p>
      </w:sdtContent>
    </w:sdt>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bookmarkStart w:id="0" w:name="__RefHeading___Toc10906"/>
      <w:bookmarkEnd w:id="0"/>
      <w:r>
        <w:rPr>
          <w:rFonts w:ascii="黑体" w:hAnsi="黑体" w:cs="黑体" w:hint="eastAsia" w:eastAsia="黑体"/>
          <w:color w:val="000000"/>
          <w:sz w:val="32"/>
          <w:szCs w:val="32"/>
        </w:rPr>
        <w:t>第一章  总则</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为了规范突发事件应对活动，提高处置突发事件的效能，根据《中华人民共和国突发事件应对法》等有关法律、法规，结合我省实际，制定本条例。</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 xml:space="preserve"> 本条例所称突发事件，是指突然发生，造成或者可能造成严重社会危害，需要采取应急处置措施予以应对的自然灾害、事故灾难、公共卫生事件和社会安全事件。突发事件的等级和分级标准按照国家有关规定执行。</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省、市、县（含县级市、区，下同）人民政府是突发事件应对工作的行政领导机关。省、市、县人民政府设立应急总指挥部，统一领导、协调本行政区域内的应急管理工作。根据有关法律、法规和实际需要，在省、市、县应急总指挥部下，分类设立专项应急指挥部，负责组织、协调、指挥相关类别突发事件的应对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应急总指挥部由本级人民政府主要负责人、有关部门（含中直、省直驻当地有关单位，下同）负责人、当地同级军事机关、驻当地中国人民解放军和中国人民武装警察部队有关负责人组成。专项应急指挥部由本级人民政府分管负责人、有关部门负责人组成，必要时，应当有当地同级军事机关、驻当地中国人民解放军和中国人民武装警察部队有关负责人参加。</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省、市、县人民政府设立应急管理办事机构，负责本级人民政府应急管理的日常工作。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省、市、县人民政府直接涉及公共安全管理的部门，是本级人民政府相应专项应急指挥部的工作机构。</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乡镇人民政府、街道办事处应当确定人员负责应急管理工作。居民委员会、村民委员会应当配合人民政府做好应急管理的有关工作。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直接涉及公共安全的企业事业单位，应当在其经营管理范围内做好应急管理工作。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公民、法人和其他组织有义务及时向有关部门反映隐患或者突发事件信息。</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应急管理工作实行行政领导负责制和责任溯查制，并纳入对下级人民政府工作的绩效考核范围。</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省、市、县人民政府应当将应急体系建设纳入国民经济和社会发展规划、专项计划，并组织实施。</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省、市、县人民政府应当建立社会动员机制，发挥公民、法人和其他组织在应急管理工作中的作用，增强全民的公共安全和社会责任意识，提高全社会避险、自救、互救等应对突发事件的能力。</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鼓励公民、法人和其他组织依法进行捐赠和援助。</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省、市、县人民政府应当组织开展应急法律、法规和知识的宣传教育工作，普及应急预防、避险、自救、互救、减灾等知识。应当将应急知识教育纳入各级各类学校教学和各级干部培训的内容。</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23328"/>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预防与应急准备</w:t>
      </w:r>
      <w:bookmarkEnd w:id="1"/>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省、市、县人民政府应当制定预防与处置突发事件的总体应急预案、专项应急预案，有关部门应当根据各自职责制定部门应急预案。乡镇人民政府、街道办事处和直接涉及公共安全的企业事业单位应当制定应急预案。</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市、县人民政府突发事件总体应急预案、专项应急预案以及乡镇人民政府的应急预案，经本级人民政府批准，报上一级人民政府备案；部门应急预案报本级人民政府备案；街道办事处的应急预案报区人民政府备案；直接涉及公共安全的企业事业单位的应急预案，分别报当地人民政府和上级主管部门备案。</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省、市、县人民政府及其直接涉及公共安全管理的部门根据实际需要聘请有关专业人员组成专家组，为应急管理提供技术性评估、决策咨询和工作建议，必要时可以直接参加应急处置工作。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省、市、县人民政府及其直接涉及公共安全管理的部门、专业监测机构、直接涉及公共安全的企业事业单位，应当实行</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小时应急值班制度。</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第十三条 </w:t>
      </w:r>
      <w:r>
        <w:rPr>
          <w:rFonts w:ascii="仿宋" w:hAnsi="仿宋" w:cs="仿宋" w:hint="eastAsia" w:eastAsia="仿宋"/>
          <w:color w:val="000000"/>
          <w:sz w:val="32"/>
          <w:szCs w:val="32"/>
        </w:rPr>
        <w:t xml:space="preserve"> 省、市、县人民政府应当建立突发事件信息收集、识别、评估和突发事件预防、控制、督查等制度。</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人民政府及其有关部门、乡镇人民政府、街道办事处、公安机关派出机构、居民委员会、村民委员会和企业事业单位应当建立矛盾纠纷排查调查处理制度，对排查出的可能引发社会安全事件的矛盾纠纷及时进行调解处理。</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省、市、县人民政府应当组织有关部门对危险源、危险区域实施调查、登记和风险评估，建立数据库，并定期检查安全防范措施的落实情况，实施动态监控。</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有关部门调查危险源、危险区域时，相关单位应当依法予以配合。</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下级人民政府应当将危险源、危险区域的风险隐患排查结果报上一级人民政府备案，并按照国家规定及时向社会公布。</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市、县人民政府制定、修改城乡规划，应当根据人口密度、城市规模、气候可行性、突发事件危害种类和特点等应急需要，统筹安排应急所需的基础设施建设，合理确定应急避难场所。</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已有的建筑物、构筑物和基础设施不符合应急需要的，当地人民政府、相关所有权人或者管理使用单位应当制定防范措施并组织实施。</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人民政府应当将城镇各类广场、绿地、体育场、公园、公共人防工程等适宜场所，确定为紧急疏散避难场所。紧急疏散避难场所应当设置明显标志和导引图，并向社会公布。其所有权人或者管理使用单位负责维护、管理，保证其正常使用。</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第十六条  </w:t>
      </w:r>
      <w:r>
        <w:rPr>
          <w:rFonts w:ascii="仿宋" w:hAnsi="仿宋" w:cs="仿宋" w:hint="eastAsia" w:eastAsia="仿宋"/>
          <w:color w:val="000000"/>
          <w:sz w:val="32"/>
          <w:szCs w:val="32"/>
        </w:rPr>
        <w:t>公共设施的经营或者管理单位，应当建立安全巡检和公开报修制度，设立专业检护队伍，及时消除事故隐患；保障安全运行。</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公共交通工具、公共场所和其他人员密集场所的经营或者管理使用单位，应当遵守下列规定：</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（一）制定有效的安全管理制度，落实安全防范措施；</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（二）配备应急广播、照明、消防设备和其他应急避险器材，注明使用方法；</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（三）设置相应的报警装置和应急救援设备；</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（四）设置符合要求且明显的安全标志、安全出口与疏散路线、通道；</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（五）在可能出现危险处设置明显警示标志，对可能出现的危险作出说明提示，告知预防和紧急自救方法；</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（六）有关员工掌握应急预案内容，熟练使用配备的应急设备、器材，了解本岗位的应急救援职责和方法。</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实行危险建筑物、构筑物定期安全检护制度。有关部门对检查出的危险建筑物、构筑物应当及时采取预防措施，必要时公告停止使用。</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矿山、建筑施工单位和易燃易爆物品、危险化学品、放射性物品等危险物品的生产、经营、储运、使用单位，应当制定具体应急预案，建立健全安全管理制度，设置安全防护设施，配备应急处置设备，开展内部和周边隐患排查，及时消除隐患。</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省、市、县人民政府及其直接涉及公共安全管理的部门按照下列规定完善应急救援体系：</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（一）依托国家综合性消防救援队建立综合性的应急救援队伍；</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（二）按照突发事件类别，依托系统、行业组建专业救援队伍；</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（三）发动成年志愿者，组建临时救援队伍；</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（四）协调安全生产责任较重的企业事业单位，组建应急救援队伍。</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省、市、县人民政府应急总指挥部、专项应急指挥部应当加强对各类应急救援队伍的培训，按照应急预案组织开展年度专项应急演练和综合应急演练，提高应急联动协同能力和现场处置能力。</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乡镇人民政府、街道办事处和其他机关、企业事业单位应当结合实际，组织开展应急演练和应急知识普及活动。</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第二十二条 </w:t>
      </w:r>
      <w:r>
        <w:rPr>
          <w:rFonts w:ascii="仿宋" w:hAnsi="仿宋" w:cs="仿宋" w:hint="eastAsia" w:eastAsia="仿宋"/>
          <w:color w:val="000000"/>
          <w:sz w:val="32"/>
          <w:szCs w:val="32"/>
        </w:rPr>
        <w:t xml:space="preserve"> 省、市、县人民政府应当将应急资金列入本级财政预算，设置应急专项工作经费，确保专款专用。</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审计、财政部门依法对资金使用情况进行监督。</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省、市、县人民政府应当建立健全应急救援物资、应急处置装备和生活必需品等应急物资的储备保障制度，统筹各类应急物资日常准备和应急状态时的生产、调配、供应，并建立省内跨区域的应急物资调剂供应渠道。</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省、市、县人民政府有关职能部门应当按照各自职责，组织、协调应急物资储备工作，建设应急物资储备库，完善重要应急物资的监管、生产、储备、调拨和紧急配送体系。</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省、市、县人民政府应当根据国家统一要求，建立综合应急平台，形成连接各地区和各专业应急指挥机构的统一高效的应急平台体系。</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通信管理部门应当组织、监督电信运营企业保障人民政府应急处置通信系统畅通。</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工业和信息化主管部门应当提供应急专用频率的电波监测和干扰排查等技术保障。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相关管理部门应当组织、协调广播、电视、报刊、网络等媒体，为人民政府实施应急处置提供预警信息播发等相应保障，并依法实施监管。</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公安机关和交通管理部门应当保证参与应急处置的车辆优先通行和线路顺畅，免收费用，必要时开辟专用通道。应急处置车辆应配置规范标志。</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省、市、县人民政府应当建立健全与当地同级军事机关、驻当地中国人民解放军、中国人民武装警察部队、中（省）直驻本地有关单位和周边行政区域的应急联动机制，建立信息定期会商制度，提高应急快速反应能力。</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27458"/>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信息报告与监测预警</w:t>
      </w:r>
      <w:bookmarkEnd w:id="2"/>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建立由各级人民政府、有关主管部门以及专业机构、监测网点和居民委员会、村民委员会、企业事业单位等构成的信息收集与报送网络，通过多种途径收集报送突发事件信息。</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公民、法人或者其他组织获悉突发事件信息，应当立即通过</w:t>
      </w:r>
      <w:r>
        <w:rPr>
          <w:rFonts w:eastAsia="仿宋" w:cs="仿宋" w:hint="eastAsia" w:ascii="仿宋" w:hAnsi="仿宋"/>
          <w:color w:val="000000"/>
          <w:sz w:val="32"/>
          <w:szCs w:val="32"/>
        </w:rPr>
        <w:t>110</w:t>
      </w:r>
      <w:r>
        <w:rPr>
          <w:rFonts w:ascii="仿宋" w:hAnsi="仿宋" w:cs="仿宋" w:hint="eastAsia" w:eastAsia="仿宋"/>
          <w:color w:val="000000"/>
          <w:sz w:val="32"/>
          <w:szCs w:val="32"/>
        </w:rPr>
        <w:t>报警电话等各种渠道向当地人民政府、有关主管部门或者指定的专业机构报告。</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省、市、县人民政府及其有关部门应当按照下列规定报告突发事件信息：</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（一）县有关主管部门接到报告后，应当按照规定立即向本级人民政府和上级主管部门报告；县人民政府接到报告后，按照规定须向市人民政府报告的，应当立即向市人民政府报告；</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市有关主管部门接到报告后，按照规定须向市人民政府和上级主管部门报告的，应当立即向市人民政府和上级主管部门报告；市人民政府和省有关主管部门接到报告后，按照规定须向省人民政府报告的，应当立即向省人民政府报告。</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（三）省人民政府及其有关主管部门接到报告后，按照国家规定须上报的应当立即上报。</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前款规定的信息报告，必要时可以越级上报。</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第二十九条 </w:t>
      </w:r>
      <w:r>
        <w:rPr>
          <w:rFonts w:ascii="仿宋" w:hAnsi="仿宋" w:cs="仿宋" w:hint="eastAsia" w:eastAsia="仿宋"/>
          <w:color w:val="000000"/>
          <w:sz w:val="32"/>
          <w:szCs w:val="32"/>
        </w:rPr>
        <w:t xml:space="preserve"> 有关单位和人员报告突发事件信息，应当及时、客观、真实，不得迟报、谎报、瞒报、漏报。必要时，可以先口头简要报告并做好续报，直至应急处置工作结束。</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突发事件报告内容一般包括时间、地点、单位名称、信息来源、事件类别、伤亡或者经济损失的初步评估、影响范围、事件发展态势及处置情况。</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省、市、县人民政府及其直接涉及公共安全管理的部门，应当根据各自职责和业务范围，建立健全专业监测站点，完善应急预警监测体系。有关专业监测机构，应当按照应急需要加强技术保障建设，合理划分监测区域、站点，完善监测网络，确保监测数据信息完整可靠。根据需要实行跨地区、跨部门联合监测，随时向主管部门报告异常监测信息。主管部门应当及时向本级人民政府报告监测信息异常情况。</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应急指挥部接到异常监测信息报告后，根据监测分析评估结果，按照下列规定发布可能发生突发事件的相应级别的警报，决定、宣布有关地区进入预警期，同时向上一级人民政府报告，并向当地同级军事机关、驻当地中国人民解放军、中国人民武装警察部队和可能受到危害的毗邻或者相关地区的人民政府通报：</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（一）发布三、四级警报，在县域内的，由县应急总指挥部决定；在市区内或者跨县行政区域的，由市相应的专项应急指挥部决定；</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（二）发布一、二级警报，由市应急总指挥部决定。但跨市行政区域的，由省应急总指挥部决定，或者经其授权由省相应的专项应急指挥部决定。</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预警信息的发布内容包括突发事件的类别、预警级别、可能影响范围、警示事项、应当采取的措施和发布机关等。</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布预警信息，可以通过广播、电视、报刊、网络、手机短信息、警报器、宣传车或者组织人员逐户通知等一种或者多种方式进行。对老、幼、病、残等特殊人群以及处于学校、体育场馆、影剧院等特殊场所和通信、广播、电视盲区以及偏远地区的人群，应当采取足以使其周知的有效发布方式。</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发布警报并宣布进入预警期后，省、市、县人民政府应急指挥机构应当根据预警级别，按照《中华人民共和国突发事件应对法》第四十四条、第四十五条的规定，启动相关应急预案，并根据事态发展适时调整预警级别或者终止预警期，解除有关应急措施。</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新闻媒体应当按照相关规定，对突发事件进行及时、客观、真实的报道。</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1647"/>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应急处置</w:t>
      </w:r>
      <w:bookmarkEnd w:id="3"/>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突发事件发生后，当地人民政府应当立即组织有关部门，调动应急救援队伍赶赴现场，除按照《中华人民共和国突发事件应对法》第四十九条或者第五十条以及有关法律、法规、规章规定采取应急处置措施外，还应当按照下列规定指挥应急处置：</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（一）属于重大、特别重大或者跨市行政区域的突发事件，由省应急总指挥部负责统一指挥处置。当地县或者市应急总指挥部应当迅速先行采取应急救援和处置措施，控制态势发展或者灾情蔓延；</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（二）属于较大的突发事件，由市应急总指挥部负责统一指挥处置，省相应的专项应急指挥部负责指导、协调；</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属于一般的突发事件，发生在县域内的，由县应急总指挥部负责统一指挥处置；跨县行政区域的，由市相应的专项应急指挥部负责统一指挥处置，当地县应急总指挥部应当迅速先期采取应急救援和处置措施，控制态势发展或者灾情蔓延。</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省、市、县人民政府应当加强突发事件信息研判，根据事态发展情况，适时提升处置级别。如有事实表明一般、较大的突发事件可能演化为重大、特别重大的突发事件，</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或者下级人民政府认为本级难以控制应对的，应当及时报告上级人民政府，由上级人民政府相应的应急指挥部负责统一指挥处置，或者实施救援增援。</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上级人民政府根据应急处置需要，可以向下级人民政府派出应急工作组指导有关工作。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省、市、县人民政府在组织处置突发事件期间行使下列职权：</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（一）根据应急处置的需要，调集救援力量和储备物资，征用单位和个人的交通工具以及相关的设备、设施，指定救治单位和避难场所，必要时对有关人员、区域进行疏散或者隔离；</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（二）要求生产、供应生活必需品和应急救援物资的企业组织生产，保障供给。要求提供医疗、交通等公共服务的组织提供相应的服务；</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（三）协调运输经营单位优先运送处置突发事件所需物资、设备、工具以及救援人员和受到突发事件危害的人员；</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（四）按照有关规定，及时向社会发布突发事件事态发展和应急处置信息；</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（五）报请上级人民政府或者要求下级人民政府为应急处置提供人力、物力、财力或者技术支援。</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严重危害社会治安秩序的事件发生时，公安机关应当立即依法出动警力，并依法采取相应的强制性措施，迅速平息事态，使社会秩序恢复正常。</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发生前款规定的事件，事件当事人所在地人民政府及其有关部门和当事人所在单位或者引发事件单位的负责人，应当按照人民政府及其有关部门的要求，及时到达现场，配合做好现场处置工作。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受到自然灾害危害或者发生事故灾难、公共卫生事件的单位，除应当立即按照规定报告外，还应当立即启动本单位的应急预案，组织相关人员开展自救互救，疏散、撤离危险区域，控制危险源，封锁现场或者危险场所，并采取措施防止危害扩大。</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突发事件发生地的人民政府应当根据应急需要，动员、组织公民、法人和其他组织开展应急救援，维护社会秩序。公民、法人和其他组织应当服从人民政府的决定、命令、指挥和安排，积极配合实施应急处置措施。</w:t>
      </w:r>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32"/>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善后处理</w:t>
      </w:r>
      <w:bookmarkEnd w:id="4"/>
    </w:p>
    <w:p>
      <w:pPr>
        <w:pStyle w:val="Normal"/>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突发事件的威胁和危害得到控制或者消除后，组织处置突发事件的人民政府应当停止执行应急措施，同时采取或者继续实施疫病防治、疫情或者灾害监控、污染消除、宣传疏导以及心理危机干预等必要措施，防止发生自然灾害、事故灾难、公共卫生事件的次生、衍生事件或者重新引发社会安全事件，并做好下列善后事项：</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按照国家和省规定的调查程序，组织对突发事件造成的损失进行评估，对突发事件的起因、性质、过程、影响范围和信息报送、应急反应等情况进行责任溯查，认定责任，总结经验教训，形成处置突发事件情况的报告并报上一级人民政府；</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（二）组织受影响地区尽快修复被损坏的公共设施，恢复生活、生产、学习、工作和社会秩序；</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（三）制定救助、救济、补偿、抚慰、抚恤、安置以及恢复重建等善后工作计划并组织实施；</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（四）及时解决或者协调处理因处置突发事件而引发的行政争议和民事纠纷，开展法律援助；</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（五）对应急处置工作的原始记录等有关资料进行收集整理，并予存档；</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（六）对在应急处置过程中作出突出贡献的单位或者个人给予表彰或者奖励。</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人民政府及其有关部门为应对突发事件，可以征用单位和个人的财产。被征用的财产在使用完毕或者突发事件应急处置工作结束后，应当及时返还。财产被征用或者征用后毁损、灭失的，应当给予补偿。</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经营性财产被征用而遭受经济损失的，应当在补偿财产损失的同时给予生活补助。</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人民政府及其有关部门对受突发事件影响较大的地区和行业，可以依法给予费税减免、贴息贷款、财政转移支付等政策扶持以及物资、人力、技术支持，并动员社会力量开展慈善捐赠活动。</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公民作为志愿者参加应急救援工作或者受指派协助维护社会秩序期间，其在本单位的工资和福利待遇不变。没有工作单位的，由突发事件发生地人民政府或者其有关部门给予食宿安排或者适当补助。</w:t>
      </w:r>
    </w:p>
    <w:p>
      <w:pPr>
        <w:pStyle w:val="Normal"/>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26517"/>
    </w:p>
    <w:p>
      <w:pPr>
        <w:pStyle w:val="Normal"/>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法律责任和附则</w:t>
      </w:r>
      <w:bookmarkEnd w:id="5"/>
    </w:p>
    <w:p>
      <w:pPr>
        <w:pStyle w:val="Normal"/>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违反本条例规定，由有关部门依照《中华人民共和国突发事件应对法》等有关法律法规的规定予以处罚。</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2009</w:t>
      </w:r>
      <w:r>
        <w:rPr>
          <w:rFonts w:ascii="仿宋" w:hAnsi="仿宋" w:cs="仿宋" w:hint="eastAsia" w:eastAsia="仿宋"/>
          <w:color w:val="000000"/>
          <w:sz w:val="32"/>
          <w:szCs w:val="32"/>
        </w:rPr>
        <w:t>年</w:t>
      </w:r>
      <w:r>
        <w:rPr>
          <w:rFonts w:eastAsia="仿宋" w:cs="仿宋" w:hint="eastAsia" w:ascii="仿宋" w:hAnsi="仿宋"/>
          <w:color w:val="000000"/>
          <w:sz w:val="32"/>
          <w:szCs w:val="32"/>
        </w:rPr>
        <w:t>10</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5617845" cy="337185"/>
              <wp:effectExtent l="0" t="0" r="0" b="0"/>
              <wp:wrapNone/>
              <wp:docPr id="1" name="Frame1"/>
              <a:graphic xmlns:a="http://schemas.openxmlformats.org/drawingml/2006/main">
                <a:graphicData uri="http://schemas.microsoft.com/office/word/2010/wordprocessingShape">
                  <wps:wsp>
                    <wps:cNvSpPr txBox="1"/>
                    <wps:spPr>
                      <a:xfrm>
                        <a:off x="0" y="0"/>
                        <a:ext cx="5617845" cy="3371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ascii="Times New Roman" w:hAnsi="Times New Roman"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15</w:t>
                          </w:r>
                          <w:r>
                            <w:rPr>
                              <w:rFonts w:eastAsia="宋体" w:cs="Times New Roman" w:ascii="Times New Roman" w:hAnsi="Times New Roman"/>
                              <w:sz w:val="28"/>
                              <w:szCs w:val="28"/>
                            </w:rPr>
                            <w:fldChar w:fldCharType="end"/>
                          </w:r>
                        </w:p>
                        <w:p>
                          <w:pPr>
                            <w:pStyle w:val="Normal"/>
                            <w:snapToGrid w:val="false"/>
                            <w:rPr>
                              <w:rFonts w:ascii="Times New Roman" w:hAnsi="Times New Roman" w:eastAsia="宋体" w:cs="Times New Roman" w:hint="eastAsia"/>
                              <w:sz w:val="18"/>
                              <w:szCs w:val="28"/>
                            </w:rPr>
                          </w:pPr>
                          <w:r>
                            <w:rPr>
                              <w:rFonts w:eastAsia="宋体" w:cs="Times New Roman" w:hint="eastAsia" w:ascii="Times New Roman" w:hAnsi="Times New Roman"/>
                              <w:sz w:val="18"/>
                              <w:szCs w:val="28"/>
                            </w:rPr>
                          </w:r>
                        </w:p>
                      </w:txbxContent>
                    </wps:txbx>
                    <wps:bodyPr anchor="t" lIns="635" tIns="635" rIns="635" bIns="635">
                      <a:spAutoFit/>
                    </wps:bodyPr>
                  </wps:wsp>
                </a:graphicData>
              </a:graphic>
            </wp:anchor>
          </w:drawing>
        </mc:Choice>
        <mc:Fallback>
          <w:pict>
            <v:rect fillcolor="#FFFFFF" style="position:absolute;rotation:-0;width:442.35pt;height:26.55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ascii="Times New Roman" w:hAnsi="Times New Roman"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15</w:t>
                    </w:r>
                    <w:r>
                      <w:rPr>
                        <w:rFonts w:eastAsia="宋体" w:cs="Times New Roman" w:ascii="Times New Roman" w:hAnsi="Times New Roman"/>
                        <w:sz w:val="28"/>
                        <w:szCs w:val="28"/>
                      </w:rPr>
                      <w:fldChar w:fldCharType="end"/>
                    </w:r>
                  </w:p>
                  <w:p>
                    <w:pPr>
                      <w:pStyle w:val="Normal"/>
                      <w:snapToGrid w:val="false"/>
                      <w:rPr>
                        <w:rFonts w:ascii="Times New Roman" w:hAnsi="Times New Roman" w:eastAsia="宋体" w:cs="Times New Roman" w:hint="eastAsia"/>
                        <w:sz w:val="18"/>
                        <w:szCs w:val="28"/>
                      </w:rPr>
                    </w:pPr>
                    <w:r>
                      <w:rPr>
                        <w:rFonts w:eastAsia="宋体" w:cs="Times New Roman" w:hint="eastAsia" w:ascii="Times New Roman" w:hAnsi="Times New Roman"/>
                        <w:sz w:val="18"/>
                        <w:szCs w:val="28"/>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仿宋"/>
      <w:sz w:val="32"/>
    </w:rPr>
  </w:style>
  <w:style w:type="character" w:styleId="Style11">
    <w:name w:val="默认段落字体"/>
    <w:qFormat/>
    <w:rPr/>
  </w:style>
  <w:style w:type="character" w:styleId="3Char">
    <w:name w:val="标题 3 Char"/>
    <w:qFormat/>
    <w:rPr>
      <w:rFonts w:eastAsia="仿宋"/>
      <w:sz w:val="32"/>
    </w:rPr>
  </w:style>
  <w:style w:type="character" w:styleId="1Char">
    <w:name w:val="标题 1 Char"/>
    <w:qFormat/>
    <w:rPr>
      <w:rFonts w:ascii="Calibri" w:hAnsi="Calibri" w:eastAsia="黑体" w:cs="Calibri"/>
      <w:kern w:val="2"/>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TOC2">
    <w:name w:val="toc 2"/>
    <w:basedOn w:val="Normal"/>
    <w:next w:val="Normal"/>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2020-05-07T11:00:50Z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