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textAlignment w:val="auto"/>
        <w:rPr>
          <w:rFonts w:ascii="宋体" w:hAnsi="宋体" w:eastAsia="宋体" w:cs="宋体" w:hint="eastAsia"/>
          <w:b/>
          <w:sz w:val="32"/>
          <w:szCs w:val="32"/>
        </w:rPr>
      </w:pPr>
      <w:r>
        <w:rPr>
          <w:rFonts w:eastAsia="宋体"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textAlignment w:val="auto"/>
        <w:rPr>
          <w:rFonts w:ascii="宋体" w:hAnsi="宋体" w:eastAsia="宋体" w:cs="宋体" w:hint="eastAsia"/>
          <w:b/>
          <w:sz w:val="32"/>
          <w:szCs w:val="32"/>
        </w:rPr>
      </w:pPr>
      <w:r>
        <w:rPr>
          <w:rFonts w:eastAsia="宋体" w:cs="宋体" w:hint="eastAsia" w:ascii="宋体" w:hAnsi="宋体"/>
          <w:b/>
          <w:sz w:val="32"/>
          <w:szCs w:val="32"/>
        </w:rPr>
      </w:r>
    </w:p>
    <w:p>
      <w:pPr>
        <w:pStyle w:val="Normal"/>
        <w:tabs>
          <w:tab w:val="clear" w:pos="425"/>
          <w:tab w:val="left" w:pos="320" w:leader="none"/>
          <w:tab w:val="left" w:pos="8480" w:leader="none"/>
          <w:tab w:val="left" w:pos="8640" w:leader="none"/>
        </w:tabs>
        <w:spacing w:lineRule="exact" w:line="640"/>
        <w:jc w:val="center"/>
        <w:rPr>
          <w:rFonts w:ascii="宋体" w:hAnsi="宋体" w:eastAsia="宋体" w:cs="宋体" w:hint="eastAsia"/>
          <w:b/>
          <w:bCs w:val="false"/>
          <w:sz w:val="44"/>
          <w:szCs w:val="44"/>
        </w:rPr>
      </w:pPr>
      <w:r>
        <w:rPr>
          <w:rFonts w:ascii="宋体" w:hAnsi="宋体" w:cs="宋体" w:hint="eastAsia" w:eastAsia="宋体"/>
          <w:b/>
          <w:bCs w:val="false"/>
          <w:sz w:val="44"/>
          <w:szCs w:val="44"/>
        </w:rPr>
        <w:t>桓仁满族自治县水上安全管理条例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both"/>
        <w:rPr>
          <w:rFonts w:ascii="楷体" w:hAnsi="楷体" w:eastAsia="楷体" w:cs="楷体" w:hint="eastAsia"/>
          <w:b/>
          <w:bCs w:val="false"/>
          <w:kern w:val="0"/>
          <w:sz w:val="32"/>
          <w:szCs w:val="32"/>
        </w:rPr>
      </w:pPr>
      <w:r>
        <w:rPr>
          <w:rFonts w:eastAsia="楷体" w:cs="楷体" w:hint="eastAsia" w:ascii="楷体" w:hAnsi="楷体"/>
          <w:b/>
          <w:bCs w:val="false"/>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both"/>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w:t>
      </w:r>
      <w:r>
        <w:rPr>
          <w:rFonts w:eastAsia="楷体" w:cs="Times New Roman" w:ascii="Times New Roman" w:hAnsi="Times New Roman"/>
          <w:kern w:val="0"/>
          <w:sz w:val="32"/>
          <w:szCs w:val="32"/>
        </w:rPr>
        <w:t>2020</w:t>
      </w:r>
      <w:r>
        <w:rPr>
          <w:rFonts w:ascii="楷体" w:hAnsi="楷体" w:cs="楷体" w:hint="eastAsia" w:eastAsia="楷体"/>
          <w:kern w:val="0"/>
          <w:sz w:val="32"/>
          <w:szCs w:val="32"/>
        </w:rPr>
        <w:t>年</w:t>
      </w:r>
      <w:r>
        <w:rPr>
          <w:rFonts w:eastAsia="楷体" w:cs="Times New Roman" w:hint="eastAsia" w:ascii="Times New Roman" w:hAnsi="Times New Roman"/>
          <w:kern w:val="0"/>
          <w:sz w:val="32"/>
          <w:szCs w:val="32"/>
        </w:rPr>
        <w:t>12</w:t>
      </w:r>
      <w:r>
        <w:rPr>
          <w:rFonts w:ascii="楷体" w:hAnsi="楷体" w:cs="楷体" w:hint="eastAsia" w:eastAsia="楷体"/>
          <w:kern w:val="0"/>
          <w:sz w:val="32"/>
          <w:szCs w:val="32"/>
        </w:rPr>
        <w:t>月</w:t>
      </w:r>
      <w:r>
        <w:rPr>
          <w:rFonts w:eastAsia="楷体" w:cs="Times New Roman" w:hint="eastAsia" w:ascii="Times New Roman" w:hAnsi="Times New Roman"/>
          <w:kern w:val="0"/>
          <w:sz w:val="32"/>
          <w:szCs w:val="32"/>
        </w:rPr>
        <w:t>25</w:t>
      </w:r>
      <w:r>
        <w:rPr>
          <w:rFonts w:ascii="楷体" w:hAnsi="楷体" w:cs="楷体" w:hint="eastAsia" w:eastAsia="楷体"/>
          <w:kern w:val="0"/>
          <w:sz w:val="32"/>
          <w:szCs w:val="32"/>
        </w:rPr>
        <w:t>日桓仁满族自治县第七届人民代表大会</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both"/>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 xml:space="preserve">第五次会议通过 </w:t>
      </w:r>
      <w:r>
        <w:rPr>
          <w:rFonts w:eastAsia="楷体" w:cs="楷体" w:hint="eastAsia" w:ascii="楷体" w:hAnsi="楷体"/>
          <w:kern w:val="0"/>
          <w:sz w:val="32"/>
          <w:szCs w:val="32"/>
        </w:rPr>
        <w:t>2021</w:t>
      </w:r>
      <w:r>
        <w:rPr>
          <w:rFonts w:ascii="楷体" w:hAnsi="楷体" w:cs="楷体" w:hint="eastAsia" w:eastAsia="楷体"/>
          <w:kern w:val="0"/>
          <w:sz w:val="32"/>
          <w:szCs w:val="32"/>
        </w:rPr>
        <w:t>年</w:t>
      </w:r>
      <w:r>
        <w:rPr>
          <w:rFonts w:eastAsia="楷体" w:cs="楷体" w:hint="eastAsia" w:ascii="楷体" w:hAnsi="楷体"/>
          <w:kern w:val="0"/>
          <w:sz w:val="32"/>
          <w:szCs w:val="32"/>
        </w:rPr>
        <w:t>5</w:t>
      </w:r>
      <w:r>
        <w:rPr>
          <w:rFonts w:ascii="楷体" w:hAnsi="楷体" w:cs="楷体" w:hint="eastAsia" w:eastAsia="楷体"/>
          <w:kern w:val="0"/>
          <w:sz w:val="32"/>
          <w:szCs w:val="32"/>
        </w:rPr>
        <w:t>月</w:t>
      </w:r>
      <w:r>
        <w:rPr>
          <w:rFonts w:eastAsia="楷体" w:cs="楷体" w:hint="eastAsia" w:ascii="楷体" w:hAnsi="楷体"/>
          <w:kern w:val="0"/>
          <w:sz w:val="32"/>
          <w:szCs w:val="32"/>
        </w:rPr>
        <w:t>27</w:t>
      </w:r>
      <w:r>
        <w:rPr>
          <w:rFonts w:ascii="楷体" w:hAnsi="楷体" w:cs="楷体" w:hint="eastAsia" w:eastAsia="楷体"/>
          <w:kern w:val="0"/>
          <w:sz w:val="32"/>
          <w:szCs w:val="32"/>
        </w:rPr>
        <w:t>日辽宁省第十三届人民代表</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both"/>
        <w:rPr>
          <w:rFonts w:ascii="楷体" w:hAnsi="楷体" w:eastAsia="楷体" w:cs="楷体" w:hint="eastAsia"/>
          <w:kern w:val="0"/>
          <w:sz w:val="25"/>
          <w:szCs w:val="25"/>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大会常务委员会第</w:t>
      </w:r>
      <w:r>
        <w:rPr>
          <w:rFonts w:eastAsia="楷体" w:cs="楷体" w:hint="eastAsia" w:ascii="楷体" w:hAnsi="楷体"/>
          <w:kern w:val="0"/>
          <w:sz w:val="32"/>
          <w:szCs w:val="32"/>
        </w:rPr>
        <w:t>26</w:t>
      </w:r>
      <w:r>
        <w:rPr>
          <w:rFonts w:ascii="楷体" w:hAnsi="楷体" w:cs="楷体" w:hint="eastAsia" w:eastAsia="楷体"/>
          <w:kern w:val="0"/>
          <w:sz w:val="32"/>
          <w:szCs w:val="32"/>
        </w:rPr>
        <w:t>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宋体" w:hAnsi="宋体" w:eastAsia="宋体" w:cs="宋体" w:hint="eastAsia"/>
          <w:kern w:val="0"/>
          <w:sz w:val="32"/>
          <w:szCs w:val="32"/>
        </w:rPr>
      </w:pPr>
      <w:r>
        <w:rPr>
          <w:rFonts w:eastAsia="宋体"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第一条</w:t>
      </w:r>
      <w:r>
        <w:rPr>
          <w:rFonts w:ascii="仿宋" w:hAnsi="仿宋" w:cs="仿宋" w:hint="eastAsia" w:eastAsia="仿宋"/>
          <w:kern w:val="0"/>
          <w:sz w:val="32"/>
          <w:szCs w:val="32"/>
        </w:rPr>
        <w:t xml:space="preserve">  为了加强水上安全管理，维护水上安全秩序，保障人民群众生命财产安全，根据《中华人民共和国内河交通安全管理条例》等法律法规，结合自治县实际，制定本条例。</w:t>
      </w:r>
    </w:p>
    <w:p>
      <w:pPr>
        <w:pStyle w:val="NewNewNewNewNewNewNewNewNewNewNewNewNewNewNewNewNewNewNewNewNewNewNewNewNewNewNewNewNewNewNewNewNewNewNewNewNewNewNewNewNewNewNewNewNewNewNewNewNewNewNewNewNewNewNewNewNewNewNewNewNewNewNe"/>
        <w:snapToGrid w:val="false"/>
        <w:spacing w:lineRule="exact" w:line="580"/>
        <w:rPr>
          <w:rFonts w:ascii="仿宋" w:hAnsi="仿宋" w:eastAsia="仿宋" w:cs="仿宋" w:hint="eastAsia"/>
          <w:kern w:val="0"/>
          <w:sz w:val="32"/>
          <w:szCs w:val="32"/>
        </w:rPr>
      </w:pPr>
      <w:r>
        <w:rPr>
          <w:rFonts w:eastAsia="黑体" w:cs="黑体" w:hint="eastAsia" w:ascii="黑体" w:hAnsi="黑体"/>
          <w:kern w:val="0"/>
          <w:sz w:val="32"/>
          <w:szCs w:val="32"/>
        </w:rPr>
        <w:t xml:space="preserve">    </w:t>
      </w:r>
      <w:r>
        <w:rPr>
          <w:rFonts w:ascii="黑体" w:hAnsi="黑体" w:cs="黑体" w:hint="eastAsia" w:eastAsia="黑体"/>
          <w:kern w:val="0"/>
          <w:sz w:val="32"/>
          <w:szCs w:val="32"/>
        </w:rPr>
        <w:t>第二条</w:t>
      </w:r>
      <w:r>
        <w:rPr>
          <w:rFonts w:ascii="仿宋" w:hAnsi="仿宋" w:cs="仿宋" w:hint="eastAsia" w:eastAsia="仿宋"/>
          <w:kern w:val="0"/>
          <w:sz w:val="32"/>
          <w:szCs w:val="32"/>
        </w:rPr>
        <w:t xml:space="preserve">  在自治县行政区域内从事水上航行、停泊和作业以及其他与水上安全有关活动的单位和个人，应当遵守本条例。</w:t>
      </w:r>
    </w:p>
    <w:p>
      <w:pPr>
        <w:pStyle w:val="NewNewNewNewNewNewNewNewNewNewNewNewNewNewNewNewNewNewNewNewNewNewNewNewNewNewNewNewNewNewNewNewNewNewNewNewNewNewNewNewNewNewNewNewNewNewNewNewNewNewNewNewNewNewNewNewNewNewNewNewNewNewNe"/>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黑体" w:hAnsi="黑体" w:cs="黑体" w:hint="eastAsia" w:eastAsia="黑体"/>
          <w:kern w:val="0"/>
          <w:sz w:val="32"/>
          <w:szCs w:val="32"/>
        </w:rPr>
        <w:t>第三条</w:t>
      </w:r>
      <w:r>
        <w:rPr>
          <w:rFonts w:ascii="仿宋" w:hAnsi="仿宋" w:cs="仿宋" w:hint="eastAsia" w:eastAsia="仿宋"/>
          <w:kern w:val="0"/>
          <w:sz w:val="32"/>
          <w:szCs w:val="32"/>
        </w:rPr>
        <w:t xml:space="preserve">  自治县交通运输主管部门负责本行政区域内的水上安全管理工作。</w:t>
      </w:r>
    </w:p>
    <w:p>
      <w:pPr>
        <w:pStyle w:val="NewNewNewNewNewNewNewNewNewNewNewNewNewNewNewNewNewNewNewNewNewNewNewNewNewNewNewNewNewNewNewNewNewNewNewNewNewNewNewNewNewNewNewNewNewNewNewNewNewNewNewNewNewNewNewNewNewNewNewNewNewNewNe"/>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仿宋" w:hAnsi="仿宋" w:cs="仿宋" w:hint="eastAsia" w:eastAsia="仿宋"/>
          <w:kern w:val="0"/>
          <w:sz w:val="32"/>
          <w:szCs w:val="32"/>
        </w:rPr>
        <w:t>涉及水上安全的乡镇人民政府（街道办事处）应当加强对本区域内水上安全的监督检查，协助有关部门依法履行水上安全管理职责。</w:t>
      </w:r>
    </w:p>
    <w:p>
      <w:pPr>
        <w:pStyle w:val="NewNewNewNewNewNewNewNewNewNewNewNewNewNewNewNewNewNewNewNewNewNewNewNewNewNewNewNewNewNewNewNewNewNewNewNewNewNewNewNewNewNewNewNewNewNewNewNewNewNewNewNewNewNewNewNewNewNewNewNewNewNewNe"/>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仿宋" w:hAnsi="仿宋" w:cs="仿宋" w:hint="eastAsia" w:eastAsia="仿宋"/>
          <w:kern w:val="0"/>
          <w:sz w:val="32"/>
          <w:szCs w:val="32"/>
        </w:rPr>
        <w:t>村民委员会应当配合乡镇人民政府做好水上安全管理工作。</w:t>
      </w:r>
    </w:p>
    <w:p>
      <w:pPr>
        <w:pStyle w:val="NewNewNewNewNewNewNewNewNewNewNewNewNewNewNewNewNewNewNewNewNewNewNewNewNewNewNewNewNewNewNewNewNewNewNewNewNewNewNewNewNewNewNewNewNewNewNewNewNewNewNewNewNewNewNewNewNewNewNewNewNewNewNe1"/>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第四条</w:t>
      </w:r>
      <w:r>
        <w:rPr>
          <w:rFonts w:ascii="仿宋" w:hAnsi="仿宋" w:cs="仿宋" w:hint="eastAsia" w:eastAsia="仿宋"/>
          <w:kern w:val="0"/>
          <w:sz w:val="32"/>
          <w:szCs w:val="32"/>
        </w:rPr>
        <w:t xml:space="preserve">  自治县人民政府及其有关部门、乡镇人民政府、街道办事处应当组织开展水上安全法律法规和安全知识的宣传活动，加强预防溺水安全教育，禁止野浴，提高公众的水上安全意识。</w:t>
      </w:r>
    </w:p>
    <w:p>
      <w:pPr>
        <w:pStyle w:val="NewNewNewNewNewNewNewNewNewNewNewNewNewNewNewNewNewNewNewNewNewNewNewNewNewNewNewNewNewNewNewNewNewNewNewNewNewNewNewNewNewNewNewNewNewNewNewNewNewNewNewNewNewNewNewNewNewNewNewNewNewNewNe"/>
        <w:snapToGrid w:val="false"/>
        <w:spacing w:lineRule="exact" w:line="580"/>
        <w:rPr>
          <w:rFonts w:ascii="仿宋" w:hAnsi="仿宋" w:eastAsia="仿宋" w:cs="仿宋" w:hint="eastAsia"/>
          <w:kern w:val="0"/>
          <w:sz w:val="32"/>
          <w:szCs w:val="32"/>
        </w:rPr>
      </w:pPr>
      <w:r>
        <w:rPr>
          <w:rFonts w:eastAsia="黑体" w:cs="黑体" w:hint="eastAsia" w:ascii="黑体" w:hAnsi="黑体"/>
          <w:kern w:val="0"/>
          <w:sz w:val="32"/>
          <w:szCs w:val="32"/>
        </w:rPr>
        <w:t xml:space="preserve">    </w:t>
      </w:r>
      <w:r>
        <w:rPr>
          <w:rFonts w:ascii="黑体" w:hAnsi="黑体" w:cs="黑体" w:hint="eastAsia" w:eastAsia="黑体"/>
          <w:kern w:val="0"/>
          <w:sz w:val="32"/>
          <w:szCs w:val="32"/>
        </w:rPr>
        <w:t>第五条</w:t>
      </w:r>
      <w:r>
        <w:rPr>
          <w:rFonts w:ascii="仿宋" w:hAnsi="仿宋" w:cs="仿宋" w:hint="eastAsia" w:eastAsia="仿宋"/>
          <w:kern w:val="0"/>
          <w:sz w:val="32"/>
          <w:szCs w:val="32"/>
        </w:rPr>
        <w:t xml:space="preserve">  交通船舶、公务船舶、生产作业船舶具备下列条件，方可航行：</w:t>
      </w:r>
    </w:p>
    <w:p>
      <w:pPr>
        <w:pStyle w:val="NewNewNewNewNewNewNewNewNewNewNewNewNewNewNewNewNewNewNewNewNewNewNewNewNewNewNewNewNewNewNewNewNewNewNewNewNewNewNewNewNewNewNewNewNewNewNewNewNewNewNewNewNewNewNewNewNewNewNewNewNewNewNe"/>
        <w:numPr>
          <w:ilvl w:val="0"/>
          <w:numId w:val="2"/>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经海事管理机构认可的船舶检验机构依法检验并持有合格的船舶检验证书。</w:t>
      </w:r>
    </w:p>
    <w:p>
      <w:pPr>
        <w:pStyle w:val="NewNewNewNewNewNewNewNewNewNewNewNewNewNewNewNewNewNewNewNewNewNewNewNewNewNewNewNewNewNewNewNewNewNewNewNewNewNewNewNewNewNewNewNewNewNewNewNewNewNewNewNewNewNewNewNewNewNewNewNewNewNewNe"/>
        <w:numPr>
          <w:ilvl w:val="0"/>
          <w:numId w:val="2"/>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经海事管理机构依法登记并持有船舶登记证书。</w:t>
      </w:r>
    </w:p>
    <w:p>
      <w:pPr>
        <w:pStyle w:val="NewNewNewNewNewNewNewNewNewNewNewNewNewNewNewNewNewNewNewNewNewNewNewNewNewNewNewNewNewNewNewNewNewNewNewNewNewNewNewNewNewNewNewNewNewNewNewNewNewNewNewNewNewNewNewNewNewNewNewNewNewNewNe"/>
        <w:numPr>
          <w:ilvl w:val="0"/>
          <w:numId w:val="2"/>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配备符合国务院交通主管部门规定的船员。</w:t>
      </w:r>
    </w:p>
    <w:p>
      <w:pPr>
        <w:pStyle w:val="NewNewNewNewNewNewNewNewNewNewNewNewNewNewNewNewNewNewNewNewNewNewNewNewNewNewNewNewNewNewNewNewNewNewNewNewNewNewNewNewNewNewNewNewNewNewNewNewNewNewNewNewNewNewNewNewNewNewNewNewNewNewNe"/>
        <w:numPr>
          <w:ilvl w:val="0"/>
          <w:numId w:val="2"/>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配备必要的航行资料。 </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第六条</w:t>
      </w:r>
      <w:r>
        <w:rPr>
          <w:rFonts w:ascii="仿宋" w:hAnsi="仿宋" w:cs="仿宋" w:hint="eastAsia" w:eastAsia="仿宋"/>
          <w:kern w:val="0"/>
          <w:sz w:val="32"/>
          <w:szCs w:val="32"/>
        </w:rPr>
        <w:t xml:space="preserve">  渔业船舶应当经渔业船舶检验部门检验合格，并向渔业主管部门依法登记后方可下水作业。</w:t>
      </w:r>
    </w:p>
    <w:p>
      <w:pPr>
        <w:pStyle w:val="NewNewNewNewNewNewNewNewNewNewNewNewNewNewNewNewNewNewNewNewNewNewNewNewNewNewNewNewNewNewNewNewNewNewNewNewNewNewNewNewNewNewNewNewNewNewNewNewNewNewNewNewNewNewNewNewNewNewNewNewNewNewNe"/>
        <w:snapToGrid w:val="false"/>
        <w:spacing w:lineRule="exact" w:line="580"/>
        <w:rPr>
          <w:rFonts w:ascii="仿宋" w:hAnsi="仿宋" w:eastAsia="仿宋" w:cs="仿宋" w:hint="eastAsia"/>
          <w:kern w:val="0"/>
          <w:sz w:val="32"/>
          <w:szCs w:val="32"/>
        </w:rPr>
      </w:pPr>
      <w:r>
        <w:rPr>
          <w:rFonts w:eastAsia="黑体" w:cs="黑体" w:hint="eastAsia" w:ascii="黑体" w:hAnsi="黑体"/>
          <w:kern w:val="0"/>
          <w:sz w:val="32"/>
          <w:szCs w:val="32"/>
        </w:rPr>
        <w:t xml:space="preserve">    </w:t>
      </w:r>
      <w:r>
        <w:rPr>
          <w:rFonts w:ascii="黑体" w:hAnsi="黑体" w:cs="黑体" w:hint="eastAsia" w:eastAsia="黑体"/>
          <w:kern w:val="0"/>
          <w:sz w:val="32"/>
          <w:szCs w:val="32"/>
        </w:rPr>
        <w:t>第七条</w:t>
      </w:r>
      <w:r>
        <w:rPr>
          <w:rFonts w:ascii="仿宋" w:hAnsi="仿宋" w:cs="仿宋" w:hint="eastAsia" w:eastAsia="仿宋"/>
          <w:kern w:val="0"/>
          <w:sz w:val="32"/>
          <w:szCs w:val="32"/>
        </w:rPr>
        <w:t xml:space="preserve">  禁止无船名船号、无船舶证书、无船籍港的船舶（简称“三无”船舶）以及按照国家规定应当强制报废的船舶航行、停泊和作业。</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第八条</w:t>
      </w:r>
      <w:r>
        <w:rPr>
          <w:rFonts w:ascii="仿宋" w:hAnsi="仿宋" w:cs="仿宋" w:hint="eastAsia" w:eastAsia="仿宋"/>
          <w:kern w:val="0"/>
          <w:sz w:val="32"/>
          <w:szCs w:val="32"/>
        </w:rPr>
        <w:t xml:space="preserve">  自治县人民政府根据水上交通安全的需要，依法划定航线和禁航水域，并向社会公布。</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任何船舶、浮动设施不得在禁航水域进行航行、停泊和作业；如有特殊情况需要进入该水域的，应当经过自治县人民政府批准。</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第九条</w:t>
      </w:r>
      <w:r>
        <w:rPr>
          <w:rFonts w:ascii="仿宋" w:hAnsi="仿宋" w:cs="仿宋" w:hint="eastAsia" w:eastAsia="仿宋"/>
          <w:kern w:val="0"/>
          <w:sz w:val="32"/>
          <w:szCs w:val="32"/>
        </w:rPr>
        <w:t xml:space="preserve">  自治县人民政府应当整合各方面力量，加强水上安全执法队伍建设，加大执法力度，形成执法合力。</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第十条</w:t>
      </w:r>
      <w:r>
        <w:rPr>
          <w:rFonts w:ascii="仿宋" w:hAnsi="仿宋" w:cs="仿宋" w:hint="eastAsia" w:eastAsia="仿宋"/>
          <w:kern w:val="0"/>
          <w:sz w:val="32"/>
          <w:szCs w:val="32"/>
        </w:rPr>
        <w:t xml:space="preserve">  下列事项的主管部门由自治县人民政府确定：</w:t>
      </w:r>
    </w:p>
    <w:p>
      <w:pPr>
        <w:pStyle w:val="NewNewNewNewNewNewNewNewNewNewNewNewNewNewNewNewNewNewNewNewNewNewNewNewNewNewNewNewNewNewNewNewNewNewNewNewNewNewNewNewNewNewNewNewNewNewNewNewNewNewNewNewNewNewNewNewNewNewNewNewNewNewNe"/>
        <w:numPr>
          <w:ilvl w:val="0"/>
          <w:numId w:val="1"/>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旅游景区内水上游览、漂流等经营活动的行业安全监督管理。</w:t>
      </w:r>
    </w:p>
    <w:p>
      <w:pPr>
        <w:pStyle w:val="NewNewNewNewNewNewNewNewNewNewNewNewNewNewNewNewNewNewNewNewNewNewNewNewNewNewNewNewNewNewNewNewNewNewNewNewNewNewNewNewNewNewNewNewNewNewNewNewNewNewNewNewNewNewNewNewNewNewNewNewNewNewNe"/>
        <w:numPr>
          <w:ilvl w:val="0"/>
          <w:numId w:val="1"/>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城市公园内水上运动休闲项目的安全监督管理。</w:t>
      </w:r>
    </w:p>
    <w:p>
      <w:pPr>
        <w:pStyle w:val="NewNewNewNewNewNewNewNewNewNewNewNewNewNewNewNewNewNewNewNewNewNewNewNewNewNewNewNewNewNewNewNewNewNewNewNewNewNewNewNewNewNewNewNewNewNewNewNewNewNewNewNewNewNewNewNewNewNewNewNewNewNewNe"/>
        <w:numPr>
          <w:ilvl w:val="0"/>
          <w:numId w:val="1"/>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渔业船舶和渔业生产作业相关的水上安全监督管理。</w:t>
      </w:r>
    </w:p>
    <w:p>
      <w:pPr>
        <w:pStyle w:val="NewNewNewNewNewNewNewNewNewNewNewNewNewNewNewNewNewNewNewNewNewNewNewNewNewNewNewNewNewNewNewNewNewNewNewNewNewNewNewNewNewNewNewNewNewNewNewNewNewNewNewNewNewNewNewNewNewNewNewNewNewNewNe"/>
        <w:numPr>
          <w:ilvl w:val="0"/>
          <w:numId w:val="1"/>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水上游乐设施中特种设备的登记、备案和安全事故调查处理</w:t>
      </w:r>
      <w:r>
        <w:rPr>
          <w:rFonts w:ascii="仿宋" w:hAnsi="仿宋" w:cs="仿宋" w:hint="eastAsia" w:eastAsia="仿宋"/>
          <w:b w:val="false"/>
          <w:bCs w:val="false"/>
          <w:kern w:val="0"/>
          <w:sz w:val="32"/>
          <w:szCs w:val="32"/>
        </w:rPr>
        <w:t>的监督管理</w:t>
      </w:r>
      <w:r>
        <w:rPr>
          <w:rFonts w:ascii="仿宋" w:hAnsi="仿宋" w:cs="仿宋" w:hint="eastAsia" w:eastAsia="仿宋"/>
          <w:kern w:val="0"/>
          <w:sz w:val="32"/>
          <w:szCs w:val="32"/>
        </w:rPr>
        <w:t>。</w:t>
      </w:r>
    </w:p>
    <w:p>
      <w:pPr>
        <w:pStyle w:val="NewNewNewNewNewNewNewNewNewNewNewNewNewNewNewNewNewNewNewNewNewNewNewNewNewNewNewNewNewNewNewNewNewNewNewNewNewNewNewNewNewNewNewNewNewNewNewNewNewNewNewNewNewNewNewNewNewNewNewNewNewNewNe"/>
        <w:numPr>
          <w:ilvl w:val="0"/>
          <w:numId w:val="1"/>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港口的安全监督管理。</w:t>
      </w:r>
    </w:p>
    <w:p>
      <w:pPr>
        <w:pStyle w:val="NewNewNewNewNewNewNewNewNewNewNewNewNewNewNewNewNewNewNewNewNewNewNewNewNewNewNewNewNewNewNewNewNewNewNewNewNewNewNewNewNewNewNewNewNewNewNewNewNewNewNewNewNewNewNewNewNewNewNewNewNewNewNe"/>
        <w:numPr>
          <w:ilvl w:val="0"/>
          <w:numId w:val="1"/>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自治县行政区域内的桓龙湖、回龙湖、金龙湖、凤鸣湖以及浑江河道的水上安全监督管理。</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第十一条</w:t>
      </w:r>
      <w:r>
        <w:rPr>
          <w:rFonts w:ascii="仿宋" w:hAnsi="仿宋" w:cs="仿宋" w:hint="eastAsia" w:eastAsia="仿宋"/>
          <w:kern w:val="0"/>
          <w:sz w:val="32"/>
          <w:szCs w:val="32"/>
        </w:rPr>
        <w:t xml:space="preserve">  自治县人民政府交通运输主管部门应当指导、督促渔业、文化旅游、住房和城乡建设、市场监督管理等主管部门建立健全和落实水上交通安全管理责任制度，依法查处“三无”船舶。</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第十二条</w:t>
      </w:r>
      <w:r>
        <w:rPr>
          <w:rFonts w:ascii="仿宋" w:hAnsi="仿宋" w:cs="仿宋" w:hint="eastAsia" w:eastAsia="仿宋"/>
          <w:kern w:val="0"/>
          <w:sz w:val="32"/>
          <w:szCs w:val="32"/>
        </w:rPr>
        <w:t xml:space="preserve">  自治县饮用水水源一级保护区内禁止从事网箱养殖、旅游、游泳、垂钓、种植农作物等行为。</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第十三条</w:t>
      </w:r>
      <w:r>
        <w:rPr>
          <w:rFonts w:ascii="仿宋" w:hAnsi="仿宋" w:cs="仿宋" w:hint="eastAsia" w:eastAsia="仿宋"/>
          <w:kern w:val="0"/>
          <w:sz w:val="32"/>
          <w:szCs w:val="32"/>
        </w:rPr>
        <w:t xml:space="preserve">  自治县人民政府公安机关负责渡口、码头、船舶的治安管理工作，依法查处妨害公共安全和水上交通秩序、破坏水上交通设施的违法行为。</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第十四条</w:t>
      </w:r>
      <w:r>
        <w:rPr>
          <w:rFonts w:ascii="仿宋" w:hAnsi="仿宋" w:cs="仿宋" w:hint="eastAsia" w:eastAsia="仿宋"/>
          <w:kern w:val="0"/>
          <w:sz w:val="32"/>
          <w:szCs w:val="32"/>
        </w:rPr>
        <w:t xml:space="preserve">  乡镇人民政府应当对本辖区内水上安全管理履行下列职责：</w:t>
      </w:r>
    </w:p>
    <w:p>
      <w:pPr>
        <w:pStyle w:val="NewNewNewNewNewNewNewNewNewNewNewNewNewNewNewNewNewNewNewNewNewNewNewNewNewNewNewNewNewNewNewNewNewNewNewNewNewNewNewNewNewNewNewNewNewNewNewNewNewNewNewNewNewNewNewNewNewNewNewNewNewNewNe"/>
        <w:numPr>
          <w:ilvl w:val="0"/>
          <w:numId w:val="4"/>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建立、健全行政村和船主的船舶安全责任制。</w:t>
      </w:r>
    </w:p>
    <w:p>
      <w:pPr>
        <w:pStyle w:val="NewNewNewNewNewNewNewNewNewNewNewNewNewNewNewNewNewNewNewNewNewNewNewNewNewNewNewNewNewNewNewNewNewNewNewNewNewNewNewNewNewNewNewNewNewNewNewNewNewNewNewNewNewNewNewNewNewNewNewNewNewNewNe"/>
        <w:numPr>
          <w:ilvl w:val="0"/>
          <w:numId w:val="4"/>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落实渡口船舶、船员、旅客定额的安全管理责任制。</w:t>
      </w:r>
    </w:p>
    <w:p>
      <w:pPr>
        <w:pStyle w:val="NewNewNewNewNewNewNewNewNewNewNewNewNewNewNewNewNewNewNewNewNewNewNewNewNewNewNewNewNewNewNewNewNewNewNewNewNewNewNewNewNewNewNewNewNewNewNewNewNewNewNewNewNewNewNewNewNewNewNewNewNewNewNe"/>
        <w:numPr>
          <w:ilvl w:val="0"/>
          <w:numId w:val="4"/>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落实船舶水上交通安全管理的专门人员。</w:t>
      </w:r>
    </w:p>
    <w:p>
      <w:pPr>
        <w:pStyle w:val="NewNewNewNewNewNewNewNewNewNewNewNewNewNewNewNewNewNewNewNewNewNewNewNewNewNewNewNewNewNewNewNewNewNewNewNewNewNewNewNewNewNewNewNewNewNewNewNewNewNewNewNewNewNewNewNewNewNewNewNewNewNewNe"/>
        <w:numPr>
          <w:ilvl w:val="0"/>
          <w:numId w:val="4"/>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督促船舶所有人、经营人和船员遵守有关内河交通安全的法律法规和规章。</w:t>
      </w:r>
    </w:p>
    <w:p>
      <w:pPr>
        <w:pStyle w:val="NewNewNewNewNewNewNewNewNewNewNewNewNewNewNewNewNewNewNewNewNewNewNewNewNewNewNewNewNewNewNewNewNewNewNewNewNewNewNewNewNewNewNewNewNewNewNewNewNewNewNewNewNewNewNewNewNewNewNewNewNewNewNe"/>
        <w:numPr>
          <w:ilvl w:val="0"/>
          <w:numId w:val="4"/>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法律法规规定的其他职责。</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第十五条</w:t>
      </w:r>
      <w:r>
        <w:rPr>
          <w:rFonts w:ascii="仿宋" w:hAnsi="仿宋" w:cs="仿宋" w:hint="eastAsia" w:eastAsia="仿宋"/>
          <w:kern w:val="0"/>
          <w:sz w:val="32"/>
          <w:szCs w:val="32"/>
        </w:rPr>
        <w:t xml:space="preserve">  渡口经营者对渡口和渡运安全负主体责任，应当在渡口明显位置设置公告牌，标明载客定额、安全等注意事项。</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第十六条</w:t>
      </w:r>
      <w:r>
        <w:rPr>
          <w:rFonts w:ascii="仿宋" w:hAnsi="仿宋" w:cs="仿宋" w:hint="eastAsia" w:eastAsia="仿宋"/>
          <w:kern w:val="0"/>
          <w:sz w:val="32"/>
          <w:szCs w:val="32"/>
        </w:rPr>
        <w:t xml:space="preserve">  渡口船舶应当按照核定的航线渡运，不得超载；渡运时应当避让过往船舶，不得强行横越。</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第十七条</w:t>
      </w:r>
      <w:r>
        <w:rPr>
          <w:rFonts w:ascii="仿宋" w:hAnsi="仿宋" w:cs="仿宋" w:hint="eastAsia" w:eastAsia="仿宋"/>
          <w:kern w:val="0"/>
          <w:sz w:val="32"/>
          <w:szCs w:val="32"/>
        </w:rPr>
        <w:t xml:space="preserve">  码头经营者对码头安全负主体责任，应当根据航道状况、码头设计靠泊能力，安排具有足够水深、长度和相应设施的泊位供船舶靠泊。</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第十八条</w:t>
      </w:r>
      <w:r>
        <w:rPr>
          <w:rFonts w:ascii="仿宋" w:hAnsi="仿宋" w:cs="仿宋" w:hint="eastAsia" w:eastAsia="仿宋"/>
          <w:kern w:val="0"/>
          <w:sz w:val="32"/>
          <w:szCs w:val="32"/>
        </w:rPr>
        <w:t xml:space="preserve">  船舶应当按照规定航线航行并按照规定用途使用，载人、载货不得超过准载人数和准载货物重量。</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第十九条</w:t>
      </w:r>
      <w:r>
        <w:rPr>
          <w:rFonts w:ascii="仿宋" w:hAnsi="仿宋" w:cs="仿宋" w:hint="eastAsia" w:eastAsia="仿宋"/>
          <w:kern w:val="0"/>
          <w:sz w:val="32"/>
          <w:szCs w:val="32"/>
        </w:rPr>
        <w:t xml:space="preserve">  船舶所有人或者经营人对其船舶的水上安全承担主体责任，应当履行下列义务：</w:t>
      </w:r>
    </w:p>
    <w:p>
      <w:pPr>
        <w:pStyle w:val="NewNewNewNewNewNewNewNewNewNewNewNewNewNewNewNewNewNewNewNewNewNewNewNewNewNewNewNewNewNewNewNewNewNewNewNewNewNewNewNewNewNewNewNewNewNewNewNewNewNewNewNewNewNewNewNewNewNewNewNewNewNewNe"/>
        <w:numPr>
          <w:ilvl w:val="0"/>
          <w:numId w:val="6"/>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建立健全并落实安全生产、安全管理制度和措施。</w:t>
      </w:r>
    </w:p>
    <w:p>
      <w:pPr>
        <w:pStyle w:val="NewNewNewNewNewNewNewNewNewNewNewNewNewNewNewNewNewNewNewNewNewNewNewNewNewNewNewNewNewNewNewNewNewNewNewNewNewNewNewNewNewNewNewNewNewNewNewNewNewNewNewNewNewNewNewNewNewNewNewNewNewNewNe"/>
        <w:numPr>
          <w:ilvl w:val="0"/>
          <w:numId w:val="6"/>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按照规定要求设立安全管理机构，配备安全管理人员，制定船舶使用、维修、保养制度及操作规程，保证船舶适航、船员适任。</w:t>
      </w:r>
    </w:p>
    <w:p>
      <w:pPr>
        <w:pStyle w:val="NewNewNewNewNewNewNewNewNewNewNewNewNewNewNewNewNewNewNewNewNewNewNewNewNewNewNewNewNewNewNewNewNewNewNewNewNewNewNewNewNewNewNewNewNewNewNewNewNewNewNewNewNewNewNewNewNewNewNewNewNewNewNe"/>
        <w:numPr>
          <w:ilvl w:val="0"/>
          <w:numId w:val="6"/>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按照相关规定配备船舶航行必备的安全配套设施、设备。</w:t>
      </w:r>
    </w:p>
    <w:p>
      <w:pPr>
        <w:pStyle w:val="NewNewNewNewNewNewNewNewNewNewNewNewNewNewNewNewNewNewNewNewNewNewNewNewNewNewNewNewNewNewNewNewNewNewNewNewNewNewNewNewNewNewNewNewNewNewNewNewNewNewNewNewNewNewNewNewNewNewNewNewNewNewNe"/>
        <w:numPr>
          <w:ilvl w:val="0"/>
          <w:numId w:val="6"/>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制定水上安全应急预案，并定期演练。</w:t>
      </w:r>
    </w:p>
    <w:p>
      <w:pPr>
        <w:pStyle w:val="NewNewNewNewNewNewNewNewNewNewNewNewNewNewNewNewNewNewNewNewNewNewNewNewNewNewNewNewNewNewNewNewNewNewNewNewNewNewNewNewNewNewNewNewNewNewNewNewNewNewNewNewNewNewNewNewNewNewNewNewNewNewNe"/>
        <w:numPr>
          <w:ilvl w:val="0"/>
          <w:numId w:val="6"/>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保证安全生产和安全管理工作必要的资金技术投入。</w:t>
      </w:r>
    </w:p>
    <w:p>
      <w:pPr>
        <w:pStyle w:val="NewNewNewNewNewNewNewNewNewNewNewNewNewNewNewNewNewNewNewNewNewNewNewNewNewNewNewNewNewNewNewNewNewNewNewNewNewNewNewNewNewNewNewNewNewNewNewNewNewNewNewNewNewNewNewNewNewNewNewNewNewNewNe"/>
        <w:numPr>
          <w:ilvl w:val="0"/>
          <w:numId w:val="6"/>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法律法规规定的其他义务。</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第二十条</w:t>
      </w:r>
      <w:r>
        <w:rPr>
          <w:rFonts w:ascii="仿宋" w:hAnsi="仿宋" w:cs="仿宋" w:hint="eastAsia" w:eastAsia="仿宋"/>
          <w:kern w:val="0"/>
          <w:sz w:val="32"/>
          <w:szCs w:val="32"/>
        </w:rPr>
        <w:t xml:space="preserve">  船舶所有人、经营人或船员有下列行为之一的，水上安全执法部门应当依法处罚并可依照相关规定责令其参加强制性安全培训：</w:t>
      </w:r>
    </w:p>
    <w:p>
      <w:pPr>
        <w:pStyle w:val="NewNewNewNewNewNewNewNewNewNewNewNewNewNewNewNewNewNewNewNewNewNewNewNewNewNewNewNewNewNewNewNewNewNewNewNewNewNewNewNewNewNewNewNewNewNewNewNewNewNewNewNewNewNewNewNewNewNewNewNewNewNewNe"/>
        <w:numPr>
          <w:ilvl w:val="0"/>
          <w:numId w:val="3"/>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船舶存在安全隐患，未在限定的期限内纠正或者消除的。</w:t>
      </w:r>
    </w:p>
    <w:p>
      <w:pPr>
        <w:pStyle w:val="NewNewNewNewNewNewNewNewNewNewNewNewNewNewNewNewNewNewNewNewNewNewNewNewNewNewNewNewNewNewNewNewNewNewNewNewNewNewNewNewNewNewNewNewNewNewNewNewNewNewNewNewNewNewNewNewNewNewNewNewNewNewNe"/>
        <w:numPr>
          <w:ilvl w:val="0"/>
          <w:numId w:val="3"/>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以不安全的方式操纵船舶，发生重大险情或者一般及以上等级事故的。</w:t>
      </w:r>
    </w:p>
    <w:p>
      <w:pPr>
        <w:pStyle w:val="NewNewNewNewNewNewNewNewNewNewNewNewNewNewNewNewNewNewNewNewNewNewNewNewNewNewNewNewNewNewNewNewNewNewNewNewNewNewNewNewNewNewNewNewNewNewNewNewNewNewNewNewNewNewNewNewNewNewNewNewNewNewNe"/>
        <w:numPr>
          <w:ilvl w:val="0"/>
          <w:numId w:val="3"/>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违反船舶航行规则的。</w:t>
      </w:r>
    </w:p>
    <w:p>
      <w:pPr>
        <w:pStyle w:val="NewNewNewNewNewNewNewNewNewNewNewNewNewNewNewNewNewNewNewNewNewNewNewNewNewNewNewNewNewNewNewNewNewNewNewNewNewNewNewNewNewNewNewNewNewNewNewNewNewNewNewNewNewNewNewNewNewNewNewNewNewNewNe"/>
        <w:numPr>
          <w:ilvl w:val="0"/>
          <w:numId w:val="3"/>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疲劳驾驶、超时驾驶、酒后驾驶的。</w:t>
      </w:r>
    </w:p>
    <w:p>
      <w:pPr>
        <w:pStyle w:val="NewNewNewNewNewNewNewNewNewNewNewNewNewNewNewNewNewNewNewNewNewNewNewNewNewNewNewNewNewNewNewNewNewNewNewNewNewNewNewNewNewNewNewNewNewNewNewNewNewNewNewNewNewNewNewNewNewNewNewNewNewNewNe"/>
        <w:numPr>
          <w:ilvl w:val="0"/>
          <w:numId w:val="3"/>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未要求、指导乘客正确穿着救生衣的。 </w:t>
      </w:r>
    </w:p>
    <w:p>
      <w:pPr>
        <w:pStyle w:val="NewNewNewNewNewNewNewNewNewNewNewNewNewNewNewNewNewNewNewNewNewNewNewNewNewNewNewNewNewNewNewNewNewNewNewNewNewNewNewNewNewNewNewNewNewNewNewNewNewNewNewNewNewNewNewNewNewNewNewNewNewNewNe"/>
        <w:numPr>
          <w:ilvl w:val="0"/>
          <w:numId w:val="3"/>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法律法规规定的其他危及人身、财产安全的行为。</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第二十一条</w:t>
      </w:r>
      <w:r>
        <w:rPr>
          <w:rFonts w:ascii="仿宋" w:hAnsi="仿宋" w:cs="仿宋" w:hint="eastAsia" w:eastAsia="仿宋"/>
          <w:kern w:val="0"/>
          <w:sz w:val="32"/>
          <w:szCs w:val="32"/>
        </w:rPr>
        <w:t xml:space="preserve">  漂流经营者对其经营的漂流相关活动的水上安全负主体责任，应当履行下列义务：</w:t>
      </w:r>
    </w:p>
    <w:p>
      <w:pPr>
        <w:pStyle w:val="NewNewNewNewNewNewNewNewNewNewNewNewNewNewNewNewNewNewNewNewNewNewNewNewNewNewNewNewNewNewNewNewNewNewNewNewNewNewNewNewNewNewNewNewNewNewNewNewNewNewNewNewNewNewNewNewNewNewNewNewNewNewNe"/>
        <w:numPr>
          <w:ilvl w:val="0"/>
          <w:numId w:val="7"/>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建立健全漂流安全管理制度，落实安全管理人员，加强日常安全管理工作。  </w:t>
      </w:r>
    </w:p>
    <w:p>
      <w:pPr>
        <w:pStyle w:val="NewNewNewNewNewNewNewNewNewNewNewNewNewNewNewNewNewNewNewNewNewNewNewNewNewNewNewNewNewNewNewNewNewNewNewNewNewNewNewNewNewNewNewNewNewNewNewNewNewNewNewNewNewNewNewNewNewNewNewNewNewNewNe"/>
        <w:numPr>
          <w:ilvl w:val="0"/>
          <w:numId w:val="7"/>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在漂流起始点设立乘客须知告示牌。</w:t>
      </w:r>
    </w:p>
    <w:p>
      <w:pPr>
        <w:pStyle w:val="NewNewNewNewNewNewNewNewNewNewNewNewNewNewNewNewNewNewNewNewNewNewNewNewNewNewNewNewNewNewNewNewNewNewNewNewNewNewNewNewNewNewNewNewNewNewNewNewNewNewNewNewNewNewNewNewNewNewNewNewNewNewNe"/>
        <w:numPr>
          <w:ilvl w:val="0"/>
          <w:numId w:val="7"/>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在漂流前由安全保障人员向乘客介绍漂流工具、救生设备的使用方法，讲解安全知识和应急处置方法。</w:t>
      </w:r>
    </w:p>
    <w:p>
      <w:pPr>
        <w:pStyle w:val="NewNewNewNewNewNewNewNewNewNewNewNewNewNewNewNewNewNewNewNewNewNewNewNewNewNewNewNewNewNewNewNewNewNewNewNewNewNewNewNewNewNewNewNewNewNewNewNewNewNewNewNewNewNewNewNewNewNewNewNewNewNewNe"/>
        <w:numPr>
          <w:ilvl w:val="0"/>
          <w:numId w:val="7"/>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在漂流河道水流急险处，设置警示标志，安排安全员值守。</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第二十二条</w:t>
      </w:r>
      <w:r>
        <w:rPr>
          <w:rFonts w:ascii="仿宋" w:hAnsi="仿宋" w:cs="仿宋" w:hint="eastAsia" w:eastAsia="仿宋"/>
          <w:kern w:val="0"/>
          <w:sz w:val="32"/>
          <w:szCs w:val="32"/>
        </w:rPr>
        <w:t xml:space="preserve">  旅游景区从事漂流等水上活动的橡皮艇、摩托艇、水上自行车、脚踏船、水上气球等不得超越相关部门划定的水域范围活动。</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第二十三条</w:t>
      </w:r>
      <w:r>
        <w:rPr>
          <w:rFonts w:ascii="仿宋" w:hAnsi="仿宋" w:cs="仿宋" w:hint="eastAsia" w:eastAsia="仿宋"/>
          <w:kern w:val="0"/>
          <w:sz w:val="32"/>
          <w:szCs w:val="32"/>
        </w:rPr>
        <w:t xml:space="preserve">  任何单位和个人不得擅自移动或者损毁在饮用水水源一级保护区周围设置的护栏、围网等隔离设施。</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第二十四条</w:t>
      </w:r>
      <w:r>
        <w:rPr>
          <w:rFonts w:ascii="仿宋" w:hAnsi="仿宋" w:cs="仿宋" w:hint="eastAsia" w:eastAsia="仿宋"/>
          <w:kern w:val="0"/>
          <w:sz w:val="32"/>
          <w:szCs w:val="32"/>
        </w:rPr>
        <w:t xml:space="preserve">  乡镇人民政府应当在重点水域冰上路口设立安全警示标志，开展冬季冰上安全日常巡查；在结冰初期、冰层融化期间应当封闭沿江入口，禁止行人和车辆通行。</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第二十五条</w:t>
      </w:r>
      <w:r>
        <w:rPr>
          <w:rFonts w:ascii="仿宋" w:hAnsi="仿宋" w:cs="仿宋" w:hint="eastAsia" w:eastAsia="仿宋"/>
          <w:kern w:val="0"/>
          <w:sz w:val="32"/>
          <w:szCs w:val="32"/>
        </w:rPr>
        <w:t xml:space="preserve">  气象、水文等主管部门应当加强水情的预警预报，及时发布水情灾害监测预报信息，并与交通运输、渔业、应急管理、文化旅游等部门建立气象灾害监测预报预警联动机制，实现信息实时共享。</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第二十六条</w:t>
      </w:r>
      <w:r>
        <w:rPr>
          <w:rFonts w:ascii="仿宋" w:hAnsi="仿宋" w:cs="仿宋" w:hint="eastAsia" w:eastAsia="仿宋"/>
          <w:kern w:val="0"/>
          <w:sz w:val="32"/>
          <w:szCs w:val="32"/>
        </w:rPr>
        <w:t xml:space="preserve">  自治县人民政府应当建立健全水上安全应急救助体系，制定水上安全应急预案，落实水上应急救助人员、装备和经费，组织协调交通运输、渔业、公安、应急管理、卫生健康等</w:t>
      </w:r>
      <w:r>
        <w:rPr>
          <w:rFonts w:ascii="仿宋" w:hAnsi="仿宋" w:cs="仿宋" w:hint="eastAsia" w:eastAsia="仿宋"/>
          <w:b w:val="false"/>
          <w:bCs w:val="false"/>
          <w:kern w:val="0"/>
          <w:sz w:val="32"/>
          <w:szCs w:val="32"/>
        </w:rPr>
        <w:t>部门</w:t>
      </w:r>
      <w:r>
        <w:rPr>
          <w:rFonts w:ascii="仿宋" w:hAnsi="仿宋" w:cs="仿宋" w:hint="eastAsia" w:eastAsia="仿宋"/>
          <w:kern w:val="0"/>
          <w:sz w:val="32"/>
          <w:szCs w:val="32"/>
        </w:rPr>
        <w:t>，共同做好水上搜救工作。</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第二十七条</w:t>
      </w:r>
      <w:r>
        <w:rPr>
          <w:rFonts w:ascii="仿宋" w:hAnsi="仿宋" w:cs="仿宋" w:hint="eastAsia" w:eastAsia="仿宋"/>
          <w:kern w:val="0"/>
          <w:sz w:val="32"/>
          <w:szCs w:val="32"/>
        </w:rPr>
        <w:t xml:space="preserve">  违反本条例规定的，由自治县人民政府交通运输主管部门或有关部门给予处罚：</w:t>
      </w:r>
    </w:p>
    <w:p>
      <w:pPr>
        <w:pStyle w:val="NewNewNewNewNewNewNewNewNewNewNewNewNewNewNewNewNewNewNewNewNewNewNewNewNewNewNewNewNewNewNewNewNewNewNewNewNewNewNewNewNewNewNewNewNewNewNewNewNewNewNewNewNewNewNewNewNewNewNewNewNewNewNe"/>
        <w:numPr>
          <w:ilvl w:val="0"/>
          <w:numId w:val="5"/>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违反第七条规定的，依照有关法律法规规定从重处罚。</w:t>
      </w:r>
    </w:p>
    <w:p>
      <w:pPr>
        <w:pStyle w:val="NewNewNewNewNewNewNewNewNewNewNewNewNewNewNewNewNewNewNewNewNewNewNewNewNewNewNewNewNewNewNewNewNewNewNewNewNewNewNewNewNewNewNewNewNewNewNewNewNewNewNewNewNewNewNewNewNewNewNewNewNewNewNe"/>
        <w:numPr>
          <w:ilvl w:val="0"/>
          <w:numId w:val="5"/>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违反第八条第二款规定，船舶、浮动设施未经批准在禁航水域航行、停泊或者作业的，责令改正，对船舶、浮动设施的所有人或者经营人处</w:t>
      </w:r>
      <w:r>
        <w:rPr>
          <w:rFonts w:eastAsia="仿宋" w:cs="仿宋" w:hint="eastAsia" w:ascii="仿宋" w:hAnsi="仿宋"/>
          <w:kern w:val="0"/>
          <w:sz w:val="32"/>
          <w:szCs w:val="32"/>
        </w:rPr>
        <w:t>5000</w:t>
      </w:r>
      <w:r>
        <w:rPr>
          <w:rFonts w:ascii="仿宋" w:hAnsi="仿宋" w:cs="仿宋" w:hint="eastAsia" w:eastAsia="仿宋"/>
          <w:kern w:val="0"/>
          <w:sz w:val="32"/>
          <w:szCs w:val="32"/>
        </w:rPr>
        <w:t>元罚款；情节严重的，责令停航，并可以对责任船员给予扣留船员适任证书或者其他适任证件</w:t>
      </w:r>
      <w:r>
        <w:rPr>
          <w:rFonts w:eastAsia="仿宋" w:cs="仿宋" w:hint="eastAsia" w:ascii="仿宋" w:hAnsi="仿宋"/>
          <w:kern w:val="0"/>
          <w:sz w:val="32"/>
          <w:szCs w:val="32"/>
        </w:rPr>
        <w:t>6</w:t>
      </w:r>
      <w:r>
        <w:rPr>
          <w:rFonts w:ascii="仿宋" w:hAnsi="仿宋" w:cs="仿宋" w:hint="eastAsia" w:eastAsia="仿宋"/>
          <w:kern w:val="0"/>
          <w:sz w:val="32"/>
          <w:szCs w:val="32"/>
        </w:rPr>
        <w:t>个月的处罚。</w:t>
      </w:r>
    </w:p>
    <w:p>
      <w:pPr>
        <w:pStyle w:val="NewNewNewNewNewNewNewNewNewNewNewNewNewNewNewNewNewNewNewNewNewNewNewNewNewNewNewNewNewNewNewNewNewNewNewNewNewNewNewNewNewNewNewNewNewNewNewNewNewNewNewNewNewNewNewNewNewNewNewNewNewNewNe"/>
        <w:numPr>
          <w:ilvl w:val="0"/>
          <w:numId w:val="5"/>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违反第二十条第一项、第二项规定的，给予扣留船员服务簿、船员适任证书</w:t>
      </w:r>
      <w:r>
        <w:rPr>
          <w:rFonts w:eastAsia="仿宋" w:cs="仿宋" w:hint="eastAsia" w:ascii="仿宋" w:hAnsi="仿宋"/>
          <w:kern w:val="0"/>
          <w:sz w:val="32"/>
          <w:szCs w:val="32"/>
        </w:rPr>
        <w:t>6</w:t>
      </w:r>
      <w:r>
        <w:rPr>
          <w:rFonts w:ascii="仿宋" w:hAnsi="仿宋" w:cs="仿宋" w:hint="eastAsia" w:eastAsia="仿宋"/>
          <w:kern w:val="0"/>
          <w:sz w:val="32"/>
          <w:szCs w:val="32"/>
        </w:rPr>
        <w:t>个月的处罚；违反第二十条第三项、第四项规定的，责令改正，并对船员处</w:t>
      </w:r>
      <w:r>
        <w:rPr>
          <w:rFonts w:eastAsia="仿宋" w:cs="仿宋" w:hint="eastAsia" w:ascii="仿宋" w:hAnsi="仿宋"/>
          <w:kern w:val="0"/>
          <w:sz w:val="32"/>
          <w:szCs w:val="32"/>
        </w:rPr>
        <w:t>3000</w:t>
      </w:r>
      <w:r>
        <w:rPr>
          <w:rFonts w:ascii="仿宋" w:hAnsi="仿宋" w:cs="仿宋" w:hint="eastAsia" w:eastAsia="仿宋"/>
          <w:kern w:val="0"/>
          <w:sz w:val="32"/>
          <w:szCs w:val="32"/>
        </w:rPr>
        <w:t>元罚款；违反第二十条第五项规定的，责令改正，并对船员处</w:t>
      </w:r>
      <w:r>
        <w:rPr>
          <w:rFonts w:eastAsia="仿宋" w:cs="仿宋" w:hint="eastAsia" w:ascii="仿宋" w:hAnsi="仿宋"/>
          <w:kern w:val="0"/>
          <w:sz w:val="32"/>
          <w:szCs w:val="32"/>
        </w:rPr>
        <w:t>1000</w:t>
      </w:r>
      <w:r>
        <w:rPr>
          <w:rFonts w:ascii="仿宋" w:hAnsi="仿宋" w:cs="仿宋" w:hint="eastAsia" w:eastAsia="仿宋"/>
          <w:kern w:val="0"/>
          <w:sz w:val="32"/>
          <w:szCs w:val="32"/>
        </w:rPr>
        <w:t>元罚款。</w:t>
      </w:r>
    </w:p>
    <w:p>
      <w:pPr>
        <w:pStyle w:val="NewNewNewNewNewNewNewNewNewNewNewNewNewNewNewNewNewNewNewNewNewNewNewNewNewNewNewNewNewNewNewNewNewNewNewNewNewNewNewNewNewNewNewNewNewNewNewNewNewNewNewNewNewNewNewNewNewNewNewNewNewNewNe"/>
        <w:numPr>
          <w:ilvl w:val="0"/>
          <w:numId w:val="5"/>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违反第二十二条规定，旅游者超越划定的水域范围活动的，责令改正；旅游景区未尽到安全管理责任的，责令改正，并处</w:t>
      </w:r>
      <w:r>
        <w:rPr>
          <w:rFonts w:eastAsia="仿宋" w:cs="仿宋" w:hint="eastAsia" w:ascii="仿宋" w:hAnsi="仿宋"/>
          <w:kern w:val="0"/>
          <w:sz w:val="32"/>
          <w:szCs w:val="32"/>
        </w:rPr>
        <w:t>1</w:t>
      </w:r>
      <w:r>
        <w:rPr>
          <w:rFonts w:ascii="仿宋" w:hAnsi="仿宋" w:cs="仿宋" w:hint="eastAsia" w:eastAsia="仿宋"/>
          <w:kern w:val="0"/>
          <w:sz w:val="32"/>
          <w:szCs w:val="32"/>
        </w:rPr>
        <w:t>万元罚款。</w:t>
      </w:r>
    </w:p>
    <w:p>
      <w:pPr>
        <w:pStyle w:val="NewNewNewNewNewNewNewNewNewNewNewNewNewNewNewNewNewNewNewNewNewNewNewNewNewNewNewNewNewNewNewNewNewNewNewNewNewNewNewNewNewNewNewNewNewNewNewNewNewNewNewNewNewNewNewNewNewNewNewNewNewNewNe"/>
        <w:numPr>
          <w:ilvl w:val="0"/>
          <w:numId w:val="5"/>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违反第二十三条规定的，由生态环境主管部门责令停止违法行为，限期改正，并处</w:t>
      </w:r>
      <w:r>
        <w:rPr>
          <w:rFonts w:eastAsia="仿宋" w:cs="仿宋" w:hint="eastAsia" w:ascii="仿宋" w:hAnsi="仿宋"/>
          <w:kern w:val="0"/>
          <w:sz w:val="32"/>
          <w:szCs w:val="32"/>
        </w:rPr>
        <w:t>3000</w:t>
      </w:r>
      <w:r>
        <w:rPr>
          <w:rFonts w:ascii="仿宋" w:hAnsi="仿宋" w:cs="仿宋" w:hint="eastAsia" w:eastAsia="仿宋"/>
          <w:kern w:val="0"/>
          <w:sz w:val="32"/>
          <w:szCs w:val="32"/>
        </w:rPr>
        <w:t>元罚款。</w:t>
      </w:r>
    </w:p>
    <w:p>
      <w:pPr>
        <w:pStyle w:val="NewNewNewNewNewNewNewNewNewNewNewNewNewNewNewNewNewNewNewNewNewNewNewNewNewNewNewNewNewNewNewNewNewNewNewNewNewNewNewNewNewNewNewNewNewNewNewNewNewNewNewNewNewNewNewNewNewNewNewNewNewNewNe"/>
        <w:numPr>
          <w:ilvl w:val="0"/>
          <w:numId w:val="5"/>
        </w:numPr>
        <w:snapToGrid w:val="false"/>
        <w:spacing w:lineRule="exact" w:line="580"/>
        <w:ind w:firstLineChars="0" w:firstLine="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违反本条例其他规定应当处罚的，依据相关法律法规给予处罚。</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第二十八条</w:t>
      </w:r>
      <w:r>
        <w:rPr>
          <w:rFonts w:ascii="仿宋" w:hAnsi="仿宋" w:cs="仿宋" w:hint="eastAsia" w:eastAsia="仿宋"/>
          <w:kern w:val="0"/>
          <w:sz w:val="32"/>
          <w:szCs w:val="32"/>
        </w:rPr>
        <w:t xml:space="preserve">  国家机关工作人员在水上安全管理工作中滥用职权、玩忽职守、徇私舞弊构成犯罪的，依法追究刑事责任；尚不构成犯罪的，依法给予行政处分。</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第二十九条</w:t>
      </w:r>
      <w:r>
        <w:rPr>
          <w:rFonts w:ascii="仿宋" w:hAnsi="仿宋" w:cs="仿宋" w:hint="eastAsia" w:eastAsia="仿宋"/>
          <w:kern w:val="0"/>
          <w:sz w:val="32"/>
          <w:szCs w:val="32"/>
        </w:rPr>
        <w:t xml:space="preserve">  本条例自</w:t>
      </w:r>
      <w:r>
        <w:rPr>
          <w:rFonts w:eastAsia="仿宋" w:cs="仿宋" w:hint="eastAsia" w:ascii="仿宋" w:hAnsi="仿宋"/>
          <w:kern w:val="0"/>
          <w:sz w:val="32"/>
          <w:szCs w:val="32"/>
        </w:rPr>
        <w:t>2021</w:t>
      </w:r>
      <w:r>
        <w:rPr>
          <w:rFonts w:ascii="仿宋" w:hAnsi="仿宋" w:cs="仿宋" w:hint="eastAsia" w:eastAsia="仿宋"/>
          <w:kern w:val="0"/>
          <w:sz w:val="32"/>
          <w:szCs w:val="32"/>
        </w:rPr>
        <w:t>年</w:t>
      </w:r>
      <w:r>
        <w:rPr>
          <w:rFonts w:eastAsia="仿宋" w:cs="仿宋" w:hint="eastAsia" w:ascii="仿宋" w:hAnsi="仿宋"/>
          <w:kern w:val="0"/>
          <w:sz w:val="32"/>
          <w:szCs w:val="32"/>
        </w:rPr>
        <w:t>7</w:t>
      </w:r>
      <w:r>
        <w:rPr>
          <w:rFonts w:ascii="仿宋" w:hAnsi="仿宋" w:cs="仿宋" w:hint="eastAsia" w:eastAsia="仿宋"/>
          <w:kern w:val="0"/>
          <w:sz w:val="32"/>
          <w:szCs w:val="32"/>
        </w:rPr>
        <w:t>月</w:t>
      </w:r>
      <w:r>
        <w:rPr>
          <w:rFonts w:eastAsia="仿宋" w:cs="仿宋" w:hint="eastAsia" w:ascii="仿宋" w:hAnsi="仿宋"/>
          <w:kern w:val="0"/>
          <w:sz w:val="32"/>
          <w:szCs w:val="32"/>
        </w:rPr>
        <w:t>1</w:t>
      </w:r>
      <w:r>
        <w:rPr>
          <w:rFonts w:ascii="仿宋" w:hAnsi="仿宋" w:cs="仿宋" w:hint="eastAsia" w:eastAsia="仿宋"/>
          <w:kern w:val="0"/>
          <w:sz w:val="32"/>
          <w:szCs w:val="32"/>
        </w:rPr>
        <w:t>日起施行。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黑体" w:cs="仿宋" w:hint="eastAsia"/>
          <w:kern w:val="0"/>
          <w:sz w:val="28"/>
          <w:szCs w:val="32"/>
        </w:rPr>
      </w:pPr>
      <w:r>
        <w:rPr>
          <w:rFonts w:eastAsia="黑体" w:cs="仿宋" w:hint="eastAsia" w:ascii="仿宋" w:hAnsi="仿宋"/>
          <w:kern w:val="0"/>
          <w:sz w:val="28"/>
          <w:szCs w:val="32"/>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sectPr>
      <w:footerReference w:type="default" r:id="rId2"/>
      <w:type w:val="nextPage"/>
      <w:pgSz w:w="11906" w:h="16838"/>
      <w:pgMar w:left="1531" w:right="1474" w:gutter="0" w:header="0" w:top="2154" w:footer="1077" w:bottom="1361"/>
      <w:pgNumType w:fmt="decimal"/>
      <w:formProt w:val="false"/>
      <w:textDirection w:val="lrTb"/>
      <w:docGrid w:type="lines" w:linePitch="45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
    <w:charset w:val="86"/>
    <w:family w:val="modern"/>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1050" w:leader="none"/>
      </w:tabs>
      <w:ind w:end="360"/>
      <w:rPr/>
    </w:pPr>
    <w:r>
      <w:rPr/>
      <w:tab/>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534035" cy="304800"/>
              <wp:effectExtent l="0" t="0" r="0" b="0"/>
              <wp:wrapSquare wrapText="bothSides"/>
              <wp:docPr id="1" name="Frame1"/>
              <a:graphic xmlns:a="http://schemas.openxmlformats.org/drawingml/2006/main">
                <a:graphicData uri="http://schemas.microsoft.com/office/word/2010/wordprocessingShape">
                  <wps:wsp>
                    <wps:cNvSpPr txBox="1"/>
                    <wps:spPr>
                      <a:xfrm>
                        <a:off x="0" y="0"/>
                        <a:ext cx="534035" cy="304800"/>
                      </a:xfrm>
                      <a:prstGeom prst="rect"/>
                      <a:solidFill>
                        <a:srgbClr val="FFFFFF">
                          <a:alpha val="0"/>
                        </a:srgbClr>
                      </a:solidFill>
                    </wps:spPr>
                    <wps:txbx>
                      <w:txbxContent>
                        <w:p>
                          <w:pPr>
                            <w:pStyle w:val="Footer"/>
                            <w:spacing w:lineRule="exact" w:line="480"/>
                            <w:rPr>
                              <w:rStyle w:val="PageNumber"/>
                              <w:rFonts w:hint="eastAsia"/>
                              <w:sz w:val="28"/>
                            </w:rPr>
                          </w:pPr>
                          <w:r>
                            <w:rPr>
                              <w:sz w:val="28"/>
                            </w:rPr>
                            <w:t xml:space="preserve">— </w:t>
                          </w:r>
                          <w:r>
                            <w:rPr>
                              <w:sz w:val="28"/>
                            </w:rPr>
                            <w:fldChar w:fldCharType="begin"/>
                          </w:r>
                          <w:r>
                            <w:rPr>
                              <w:sz w:val="28"/>
                            </w:rPr>
                            <w:instrText xml:space="preserve"> PAGE </w:instrText>
                          </w:r>
                          <w:r>
                            <w:rPr>
                              <w:sz w:val="28"/>
                            </w:rPr>
                            <w:fldChar w:fldCharType="separate"/>
                          </w:r>
                          <w:r>
                            <w:rPr>
                              <w:sz w:val="28"/>
                            </w:rPr>
                            <w:t>7</w:t>
                          </w:r>
                          <w:r>
                            <w:rPr>
                              <w:sz w:val="28"/>
                            </w:rPr>
                            <w:fldChar w:fldCharType="end"/>
                          </w:r>
                          <w:r>
                            <w:rPr>
                              <w:sz w:val="28"/>
                            </w:rPr>
                            <w:t xml:space="preserve"> —</w:t>
                          </w:r>
                        </w:p>
                      </w:txbxContent>
                    </wps:txbx>
                    <wps:bodyPr anchor="t" lIns="0" tIns="0" rIns="0" bIns="0">
                      <a:noAutofit/>
                    </wps:bodyPr>
                  </wps:wsp>
                </a:graphicData>
              </a:graphic>
            </wp:anchor>
          </w:drawing>
        </mc:Choice>
        <mc:Fallback>
          <w:pict>
            <v:rect fillcolor="#FFFFFF" style="position:absolute;rotation:-0;width:42.05pt;height:24pt;mso-wrap-distance-left:0pt;mso-wrap-distance-right:0pt;mso-wrap-distance-top:0pt;mso-wrap-distance-bottom:0pt;margin-top:0.05pt;mso-position-vertical-relative:text;margin-left:403pt;mso-position-horizontal:outside;mso-position-horizontal-relative:margin">
              <v:fill opacity="0f"/>
              <v:textbox inset="0in,0in,0in,0in">
                <w:txbxContent>
                  <w:p>
                    <w:pPr>
                      <w:pStyle w:val="Footer"/>
                      <w:spacing w:lineRule="exact" w:line="480"/>
                      <w:rPr>
                        <w:rStyle w:val="PageNumber"/>
                        <w:rFonts w:hint="eastAsia"/>
                        <w:sz w:val="28"/>
                      </w:rPr>
                    </w:pPr>
                    <w:r>
                      <w:rPr>
                        <w:sz w:val="28"/>
                      </w:rPr>
                      <w:t xml:space="preserve">— </w:t>
                    </w:r>
                    <w:r>
                      <w:rPr>
                        <w:sz w:val="28"/>
                      </w:rPr>
                      <w:fldChar w:fldCharType="begin"/>
                    </w:r>
                    <w:r>
                      <w:rPr>
                        <w:sz w:val="28"/>
                      </w:rPr>
                      <w:instrText xml:space="preserve"> PAGE </w:instrText>
                    </w:r>
                    <w:r>
                      <w:rPr>
                        <w:sz w:val="28"/>
                      </w:rPr>
                      <w:fldChar w:fldCharType="separate"/>
                    </w:r>
                    <w:r>
                      <w:rPr>
                        <w:sz w:val="28"/>
                      </w:rPr>
                      <w:t>7</w:t>
                    </w:r>
                    <w:r>
                      <w:rPr>
                        <w:sz w:val="28"/>
                      </w:rPr>
                      <w:fldChar w:fldCharType="end"/>
                    </w:r>
                    <w:r>
                      <w:rPr>
                        <w:sz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1"/>
      <w:numFmt w:val="chineseCountingThousand"/>
      <w:suff w:val="nothing"/>
      <w:lvlText w:val="（%1）"/>
      <w:lvlJc w:val="start"/>
      <w:pPr>
        <w:tabs>
          <w:tab w:val="num" w:pos="0"/>
        </w:tabs>
        <w:ind w:start="0" w:firstLine="420"/>
      </w:pPr>
      <w:rPr>
        <w:rFonts w:hint="eastAsia"/>
      </w:rPr>
    </w:lvl>
  </w:abstractNum>
  <w:abstractNum w:abstractNumId="6">
    <w:lvl w:ilvl="0">
      <w:start w:val="1"/>
      <w:numFmt w:val="chineseCountingThousand"/>
      <w:suff w:val="nothing"/>
      <w:lvlText w:val="（%1）"/>
      <w:lvlJc w:val="start"/>
      <w:pPr>
        <w:tabs>
          <w:tab w:val="num" w:pos="0"/>
        </w:tabs>
        <w:ind w:start="0" w:firstLine="420"/>
      </w:pPr>
      <w:rPr>
        <w:rFonts w:hint="eastAsia"/>
      </w:rPr>
    </w:lvl>
  </w:abstractNum>
  <w:abstractNum w:abstractNumId="7">
    <w:lvl w:ilvl="0">
      <w:start w:val="1"/>
      <w:numFmt w:val="chineseCountingThousand"/>
      <w:suff w:val="nothing"/>
      <w:lvlText w:val="（%1）"/>
      <w:lvlJc w:val="start"/>
      <w:pPr>
        <w:tabs>
          <w:tab w:val="num" w:pos="0"/>
        </w:tabs>
        <w:ind w:start="0" w:firstLine="420"/>
      </w:pPr>
      <w:rPr>
        <w:rFonts w:hint="eastAsia"/>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defaultTabStop w:val="425"/>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tabs>
        <w:tab w:val="clear" w:pos="425"/>
        <w:tab w:val="left" w:pos="8800" w:leader="none"/>
      </w:tabs>
      <w:spacing w:lineRule="exact" w:line="620"/>
      <w:ind w:firstLine="630" w:start="0" w:end="0"/>
    </w:pPr>
    <w:rPr>
      <w:szCs w:val="32"/>
    </w:rPr>
  </w:style>
  <w:style w:type="paragraph" w:styleId="Style15">
    <w:name w:val="日期"/>
    <w:basedOn w:val="Normal"/>
    <w:next w:val="Normal"/>
    <w:qFormat/>
    <w:pPr>
      <w:ind w:hanging="0" w:start="100" w:end="0"/>
    </w:pPr>
    <w:rPr>
      <w:rFonts w:eastAsia="宋体"/>
      <w:sz w:val="30"/>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rFonts w:eastAsia="宋体"/>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Char1">
    <w:name w:val="Char1"/>
    <w:basedOn w:val="Normal"/>
    <w:qFormat/>
    <w:pPr/>
    <w:rPr/>
  </w:style>
  <w:style w:type="paragraph" w:styleId="New">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1">
    <w:name w:val="正文 New New New New New New New New New New New New New New New New New New New New New New New New New New New New New New New New New New New New New New New New New New New New New New New New New New New New New New New New New New New New New New Ne1"/>
    <w:qFormat/>
    <w:pPr>
      <w:widowControl w:val="false"/>
      <w:bidi w:val="0"/>
      <w:jc w:val="both"/>
    </w:pPr>
    <w:rPr>
      <w:rFonts w:ascii="Calibri" w:hAnsi="Calibri"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2013-11-05T10:45:00Z</dcterms:created>
  <dc:creator>cyh</dc:creator>
  <dc:description/>
  <dc:language>en-US</dc:language>
  <cp:lastModifiedBy>湖人进季后赛了吗</cp:lastModifiedBy>
  <cp:lastPrinted>2020-12-18T14:38:00Z</cp:lastPrinted>
  <dcterms:modified xsi:type="dcterms:W3CDTF">2021-08-13T11:30:34Z</dcterms:modified>
  <cp:revision>5</cp:revision>
  <dc:subject/>
  <dc:title>桓政[2003]号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F76D3F99B4F24A7D94EC771053D57E80</vt:lpwstr>
  </property>
  <property fmtid="{D5CDD505-2E9C-101B-9397-08002B2CF9AE}" pid="3" name="KSOProductBuildVer">
    <vt:lpwstr>2052-11.1.0.10700</vt:lpwstr>
  </property>
</Properties>
</file>