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方正书宋_GBK" w:hAnsi="宋体;方正书宋_GBK" w:cs="宋体;方正书宋_GBK" w:hint="eastAsia"/>
          <w:kern w:val="0"/>
          <w:sz w:val="32"/>
          <w:szCs w:val="32"/>
        </w:rPr>
      </w:pPr>
      <w:r>
        <w:rPr>
          <w:rFonts w:cs="宋体;方正书宋_GBK" w:hint="eastAsia" w:ascii="宋体;方正书宋_GBK" w:hAnsi="宋体;方正书宋_GBK"/>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方正书宋_GBK" w:hAnsi="宋体;方正书宋_GBK" w:cs="宋体;方正书宋_GBK" w:hint="eastAsia"/>
          <w:kern w:val="0"/>
          <w:sz w:val="32"/>
          <w:szCs w:val="32"/>
        </w:rPr>
      </w:pPr>
      <w:r>
        <w:rPr>
          <w:rFonts w:cs="宋体;方正书宋_GBK" w:hint="eastAsia" w:ascii="宋体;方正书宋_GBK" w:hAnsi="宋体;方正书宋_GBK"/>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方正书宋_GBK" w:hAnsi="宋体;方正书宋_GBK" w:cs="宋体;方正书宋_GBK" w:hint="eastAsia"/>
          <w:b/>
          <w:bCs/>
          <w:kern w:val="0"/>
          <w:sz w:val="44"/>
          <w:szCs w:val="44"/>
        </w:rPr>
        <w:t>抚顺市文明行为促进条例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方正书宋_GBK" w:hAnsi="宋体;方正书宋_GBK" w:eastAsia="楷体" w:cs="宋体;方正书宋_GBK" w:hint="eastAsia"/>
          <w:kern w:val="0"/>
          <w:sz w:val="32"/>
          <w:szCs w:val="32"/>
        </w:rPr>
      </w:pPr>
      <w:r>
        <w:rPr>
          <w:rFonts w:eastAsia="楷体" w:cs="宋体;方正书宋_GBK" w:hint="eastAsia" w:ascii="宋体;方正书宋_GBK" w:hAnsi="宋体;方正书宋_GBK"/>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szCs w:val="32"/>
        </w:rPr>
      </w:pPr>
      <w:r>
        <w:rPr>
          <w:rFonts w:ascii="楷体_GB2312;楷体" w:hAnsi="楷体_GB2312;楷体" w:cs="楷体_GB2312;楷体" w:hint="eastAsia" w:eastAsia="楷体_GB2312;楷体"/>
          <w:kern w:val="0"/>
          <w:sz w:val="32"/>
        </w:rPr>
        <w:t>（</w:t>
      </w:r>
      <w:r>
        <w:rPr>
          <w:rFonts w:eastAsia="楷体_GB2312;楷体" w:cs="楷体_GB2312;楷体" w:hint="eastAsia" w:ascii="楷体_GB2312;楷体" w:hAnsi="楷体_GB2312;楷体"/>
          <w:kern w:val="0"/>
          <w:sz w:val="32"/>
        </w:rPr>
        <w:t>2021</w:t>
      </w:r>
      <w:r>
        <w:rPr>
          <w:rFonts w:ascii="楷体_GB2312;楷体" w:hAnsi="楷体_GB2312;楷体" w:cs="楷体_GB2312;楷体" w:hint="eastAsia" w:eastAsia="楷体_GB2312;楷体"/>
          <w:kern w:val="0"/>
          <w:sz w:val="32"/>
        </w:rPr>
        <w:t>年</w:t>
      </w:r>
      <w:r>
        <w:rPr>
          <w:rFonts w:eastAsia="楷体_GB2312;楷体" w:cs="楷体_GB2312;楷体" w:hint="eastAsia" w:ascii="楷体_GB2312;楷体" w:hAnsi="楷体_GB2312;楷体"/>
          <w:kern w:val="0"/>
          <w:sz w:val="32"/>
        </w:rPr>
        <w:t>8</w:t>
      </w:r>
      <w:r>
        <w:rPr>
          <w:rFonts w:ascii="楷体_GB2312;楷体" w:hAnsi="楷体_GB2312;楷体" w:cs="楷体_GB2312;楷体" w:hint="eastAsia" w:eastAsia="楷体_GB2312;楷体"/>
          <w:kern w:val="0"/>
          <w:sz w:val="32"/>
        </w:rPr>
        <w:t>月</w:t>
      </w:r>
      <w:r>
        <w:rPr>
          <w:rFonts w:eastAsia="楷体_GB2312;楷体" w:cs="楷体_GB2312;楷体" w:hint="eastAsia" w:ascii="楷体_GB2312;楷体" w:hAnsi="楷体_GB2312;楷体"/>
          <w:kern w:val="0"/>
          <w:sz w:val="32"/>
        </w:rPr>
        <w:t>26</w:t>
      </w:r>
      <w:r>
        <w:rPr>
          <w:rFonts w:ascii="楷体_GB2312;楷体" w:hAnsi="楷体_GB2312;楷体" w:cs="楷体_GB2312;楷体" w:hint="eastAsia" w:eastAsia="楷体_GB2312;楷体"/>
          <w:kern w:val="0"/>
          <w:sz w:val="32"/>
        </w:rPr>
        <w:t>日抚顺市第十六届人民代表大会常务委员会第三十次会议通过，</w:t>
      </w:r>
      <w:r>
        <w:rPr>
          <w:rFonts w:eastAsia="楷体_GB2312;楷体" w:cs="楷体_GB2312;楷体" w:hint="eastAsia" w:ascii="楷体_GB2312;楷体" w:hAnsi="楷体_GB2312;楷体"/>
          <w:kern w:val="0"/>
          <w:sz w:val="32"/>
        </w:rPr>
        <w:t>2021</w:t>
      </w:r>
      <w:r>
        <w:rPr>
          <w:rFonts w:ascii="楷体_GB2312;楷体" w:hAnsi="楷体_GB2312;楷体" w:cs="楷体_GB2312;楷体" w:hint="eastAsia" w:eastAsia="楷体_GB2312;楷体"/>
          <w:kern w:val="0"/>
          <w:sz w:val="32"/>
        </w:rPr>
        <w:t>年</w:t>
      </w:r>
      <w:r>
        <w:rPr>
          <w:rFonts w:eastAsia="楷体_GB2312;楷体" w:cs="楷体_GB2312;楷体" w:hint="eastAsia" w:ascii="楷体_GB2312;楷体" w:hAnsi="楷体_GB2312;楷体"/>
          <w:kern w:val="0"/>
          <w:sz w:val="32"/>
        </w:rPr>
        <w:t>9</w:t>
      </w:r>
      <w:r>
        <w:rPr>
          <w:rFonts w:ascii="楷体_GB2312;楷体" w:hAnsi="楷体_GB2312;楷体" w:cs="楷体_GB2312;楷体" w:hint="eastAsia" w:eastAsia="楷体_GB2312;楷体"/>
          <w:kern w:val="0"/>
          <w:sz w:val="32"/>
        </w:rPr>
        <w:t>月</w:t>
      </w:r>
      <w:r>
        <w:rPr>
          <w:rFonts w:eastAsia="楷体_GB2312;楷体" w:cs="楷体_GB2312;楷体" w:hint="eastAsia" w:ascii="楷体_GB2312;楷体" w:hAnsi="楷体_GB2312;楷体"/>
          <w:kern w:val="0"/>
          <w:sz w:val="32"/>
        </w:rPr>
        <w:t>29</w:t>
      </w:r>
      <w:r>
        <w:rPr>
          <w:rFonts w:ascii="楷体_GB2312;楷体" w:hAnsi="楷体_GB2312;楷体" w:cs="楷体_GB2312;楷体" w:hint="eastAsia" w:eastAsia="楷体_GB2312;楷体"/>
          <w:kern w:val="0"/>
          <w:sz w:val="32"/>
        </w:rPr>
        <w:t>日辽宁省第十三届人民代表大会常务委员会第二十八次会议批准）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第一条 </w:t>
      </w:r>
      <w:r>
        <w:rPr>
          <w:rFonts w:ascii="仿宋_GB2312" w:hAnsi="仿宋_GB2312" w:cs="仿宋_GB2312" w:hint="eastAsia" w:eastAsia="仿宋_GB2312"/>
          <w:kern w:val="0"/>
          <w:sz w:val="32"/>
          <w:szCs w:val="32"/>
        </w:rPr>
        <w:t>为培育和践行社会主义核心价值观，弘扬中华民族优良传统，传承雷锋精神，推进绿色协调发展，引导和促进文明行为，全面提升公民文明素质和城市文明水平，根据有关法律法规，结合本市实际，制定本条例。</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第二条 </w:t>
      </w:r>
      <w:r>
        <w:rPr>
          <w:rFonts w:ascii="仿宋_GB2312" w:hAnsi="仿宋_GB2312" w:cs="仿宋_GB2312" w:hint="eastAsia" w:eastAsia="仿宋_GB2312"/>
          <w:kern w:val="0"/>
          <w:sz w:val="32"/>
          <w:szCs w:val="32"/>
        </w:rPr>
        <w:t>本市行政区域内文明行为促进工作，适用本条例。</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第三条</w:t>
      </w:r>
      <w:r>
        <w:rPr>
          <w:rFonts w:ascii="仿宋_GB2312" w:hAnsi="仿宋_GB2312" w:cs="仿宋_GB2312" w:hint="eastAsia" w:eastAsia="仿宋_GB2312"/>
          <w:kern w:val="0"/>
          <w:sz w:val="32"/>
          <w:szCs w:val="32"/>
        </w:rPr>
        <w:t xml:space="preserve"> 市文明行为促进工作以创建文明城市为引领，以培养市民形成文明礼仪习惯为目标，以促进城市提升现代化建设水平为依托，坚持以人为本、统筹推进、倡导为主、奖惩并举的原则，建立健全共建、共治、共享的长效机制，形成党委领导、政府实施、社会共建、全民参与的工作合力，全面推动社会文明进步。</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eastAsia="仿宋_GB2312"/>
          <w:kern w:val="0"/>
          <w:sz w:val="32"/>
          <w:szCs w:val="32"/>
        </w:rPr>
        <w:t>市、县（区）精神文明建设指导委员会统一领导本行政区域内文明行为促进工作。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市、县（区）精神文明建设指导委员会办事机构具体负责组织实施本行政区域内文明行为促进工作，履行下列职责：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（一）拟定相关工作规划和计划；</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（二）指导、协调、督促、检查有关单位文明行为促进工作；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（三）组织社会文明风尚行动，开展文明创建活动，总结推广先进经验；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（四）指导、协调新闻媒体开展文明行为促进的宣传和舆论监督；</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（五）监督相关单位受理并按照规定办理有关建议和投诉；</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（六）其他文明行为促进工作。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市、县（区）应当建立文明行为促进工作联席会议制度，协调解决有关重大问题。</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第五条市、县（区）人民政府应当将文明行为促进工作纳入国民经济和社会发展规划及年度计划，制定相关措施，保障文明行为促进工作持续有效开展。</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市、县（区）人民政府有关部门、乡（镇）人民政府、街道办事处、村（居）民委员会应当按照各自职责，做好文明行为促进工作。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第六条</w:t>
      </w:r>
      <w:r>
        <w:rPr>
          <w:rFonts w:ascii="仿宋_GB2312" w:hAnsi="仿宋_GB2312" w:cs="仿宋_GB2312" w:hint="eastAsia" w:eastAsia="仿宋_GB2312"/>
          <w:kern w:val="0"/>
          <w:sz w:val="32"/>
          <w:szCs w:val="32"/>
        </w:rPr>
        <w:t xml:space="preserve"> 鼓励公民、法人及其他组织主动参与文明行为促进工作。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国家机关工作人员、各人民团体及各类社会组织工作人员、教育工作者、窗口行业工作人员应当在文明行为促进工作中发挥表率作用。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eastAsia="仿宋_GB2312"/>
          <w:kern w:val="0"/>
          <w:sz w:val="32"/>
          <w:szCs w:val="32"/>
        </w:rPr>
        <w:t xml:space="preserve">公民、法人和其他组织应当遵守法律法规，尊重公序良俗，践行居民公约、村规民约、学生守则、行业规范等行为规范，遵守社会公德、严守职业道德、恪守家庭美德、提升个人品德，自觉抵制不文明行为，积极传承弘扬雷锋精神。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eastAsia="仿宋_GB2312"/>
          <w:kern w:val="0"/>
          <w:sz w:val="32"/>
          <w:szCs w:val="32"/>
        </w:rPr>
        <w:t>公民应当维护市容和公共环境卫生，遵守下列规定：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（一）养成健康生活习惯，不在禁止吸烟的场所吸烟；</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（二）爱护公共环境，遵守生活垃圾分类投放规定，不乱扔果皮、纸屑、烟头等垃圾，不随地吐痰、便溺；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维护市容整洁，按照规定及时清扫冰雪，维护公共场所和公共设施整洁，谨防在道路上发生泄漏、遗撒行为，不采摘花果、攀折树枝、损坏侵占绿地，不擅自在城市建成区内饲养畜禽，不乱涂、乱画、乱刻，不随意张贴、悬挂、发放广告传单；</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（四）增强生态意识，倡导低碳环保生活，避免过度包装，减少使用塑料制品和一次性餐具，保护水体环境，不向河流、库塘等沿岸和水体丢弃废弃物；</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（五）保护大气环境，不在禁止区域内露天烧烤，不在露天场所和垃圾收集容器内焚烧秸秆、树叶、垃圾或者其他废弃物；</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（六）移风易俗，文明举办节庆，不大操大办婚丧等活动；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（七）提倡厚养薄葬、节俭治丧，文明祭祀，禁止在道路、广场、居民区、绿地、风景林地等公共场所抛撒、焚烧烧纸等封建迷信丧葬用品及逝者遗物，除国家民族政策允许外，禁止土葬；</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（八）其他维护市容和公共环境卫生的行为。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eastAsia="仿宋_GB2312"/>
          <w:kern w:val="0"/>
          <w:sz w:val="32"/>
          <w:szCs w:val="32"/>
        </w:rPr>
        <w:t>公民应当维护公共秩序，遵守下列规定：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（一）在公共场所注重自身形象，举止文明、着装得体，不过度暴露身体，不大声喧哗；</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（二）在疫情防控期间，严格遵守防疫的有关要求；</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（三）遇突发事件，服从现场指挥及应急处置要求，配合疏导和疏散工作，不盲目聚集、围观；</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（四）等候服务依次排队，礼让老、弱、病、残、孕及携带婴幼儿的人员；</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（五）文明用餐，使用公勺公筷，杜绝浪费；</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（六）观看文艺演出、体育赛事时，遵守场馆秩序，服从现场管理；</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（七）在图书馆、纪念馆、博物馆、影剧院等室内公共场所，主动将手机等电子设备调至静音状态，避免影响他人；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（八）开展广场舞、健步走等文体娱乐活动时，妥善使用场地、设施、设备，不妨碍、影响他人的正常生活、学习和工作；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（九）不违反规定使用高音广播喇叭或者采用其他发出高噪声的方法从事经营活动；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（十）遵守医疗机构管理规定，尊重医护人员，理性处理医疗纠纷，不扰乱医疗场所秩序；</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（十一）保护并合理使用住宅小区内共用设施和场所，不擅自占用、堵塞、封闭疏散通道、安全出口等公共区域；</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（十二）住宅小区内，车辆应当按位停放，不占用、堵塞消防通道或者妨碍他人通行；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（十三）维护窗台、阳台等设施及其上物品的安全，防止高空坠物，不从建筑物、构筑物内向外抛掷物品；</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（十四）禁止擅自在公共场所搭灵棚、设灵堂、摆放花圈</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含花篮、鲜花</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和纸扎等封建迷信丧葬用品，在丧事中禁止吹喇叭、放哀乐、鸣放鞭炮等扰民行为；禁止擅自制造和销售纸钱、棺木、纸扎实物等封建迷信丧葬用品；</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（十五）其他维护公共秩序的行为。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eastAsia="仿宋_GB2312"/>
          <w:kern w:val="0"/>
          <w:sz w:val="32"/>
          <w:szCs w:val="32"/>
        </w:rPr>
        <w:t>公民应当维护道路交通秩序，遵守下列规定：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（一）乘坐公共交通工具礼让老、弱、病、残、孕及携带婴幼儿的乘客，不得强占座位、辱骂或殴打司机、乘客，不在车厢内违规饮食，不携带违禁物品上车；</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（二）驾驶机动车应当按照道路交通管理法规使用灯光、喇叭，不随意变道、穿插、超车或者超速行驶；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（三）驾驶机动车行经人行横道或者积水坑时，应当减速行驶；遇行人正在通过人行横道，应当停车让行；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（四）驾驶机动车应当向两侧主动避让执行紧急任务的警车、消防车、救护车、工程救险车和其他有紧急情况的车辆；</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（五）驾驶和乘坐机动车时，不向车外抛撒垃圾等物品；</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（六）驾驶机动车时，避免使用电话或者其他电子设备，影响交通安全；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（七）驾驶非机动车按照交通信号指示通行，不违反规定进入机动车道、人行道行驶；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（八）行人行走时按照交通信号指示安全快速通行，不违反规定横穿道路、翻越交通护栏；</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（九）按照规定停放机动车、非机动车，不妨碍、影响其他车辆和行人通行；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（十）法律法规规定的其他应当遵守的道路交通秩序。</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eastAsia="仿宋_GB2312"/>
          <w:kern w:val="0"/>
          <w:sz w:val="32"/>
          <w:szCs w:val="32"/>
        </w:rPr>
        <w:t>公民应当自觉遵守互联网管理规定，树立网络文明新风，自觉维护网络安全和秩序。不上传、转发、转载违法和低俗信息，抵制网络谣言和不良信息。</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eastAsia="仿宋_GB2312"/>
          <w:kern w:val="0"/>
          <w:sz w:val="32"/>
          <w:szCs w:val="32"/>
        </w:rPr>
        <w:t>公民应当自觉遵守旅游文明行为公约，营造文明和谐的旅游环境，提倡绿色出行，尊重当地风俗习惯和宗教信仰，爱护公共设施和文物古迹，保护风景名胜等旅游资源，服从景区、景点的引导和管理，不从事危及人身财产安全的活动。保护英雄烈士纪念设施，不得实施歪曲、丑化、亵渎、否定英雄烈士形象和事迹的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eastAsia="仿宋_GB2312"/>
          <w:kern w:val="0"/>
          <w:sz w:val="32"/>
          <w:szCs w:val="32"/>
        </w:rPr>
        <w:t>饲养犬只，应当遵守下列规定：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（一）应当依法取得《养犬登记证》并进行免疫接种，禁止在城市市区内饲养禁养犬；</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（二）不在禁止时间段内出户遛犬，携犬只出户应当给犬戴犬牌，由完全民事行为能力人使用不超过</w:t>
      </w:r>
      <w:r>
        <w:rPr>
          <w:rFonts w:eastAsia="仿宋_GB2312" w:cs="仿宋_GB2312" w:hint="eastAsia" w:ascii="仿宋_GB2312" w:hAnsi="仿宋_GB2312"/>
          <w:kern w:val="0"/>
          <w:sz w:val="32"/>
          <w:szCs w:val="32"/>
        </w:rPr>
        <w:t>1.5</w:t>
      </w:r>
      <w:r>
        <w:rPr>
          <w:rFonts w:ascii="仿宋_GB2312" w:hAnsi="仿宋_GB2312" w:cs="仿宋_GB2312" w:hint="eastAsia" w:eastAsia="仿宋_GB2312"/>
          <w:kern w:val="0"/>
          <w:sz w:val="32"/>
          <w:szCs w:val="32"/>
        </w:rPr>
        <w:t>米的牵引带牵领或者陪伴牵领，主动避让路人，并及时清除犬粪，不得遗弃犬只；</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不得携犬只进入国家机关和企事业单位办公场所、政务便民服务场所、医疗机构（动物诊疗机构除外）、教育教学机构、公共文化服务场所、公共体育场所及公园、广场、商场、超市、酒店、餐厅等人群聚集的公共场所以及其他设有禁令标识的公共场所；</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（四）不得携犬只乘坐公共汽车等公共交通工具，携犬只乘坐出租车时，应当征得驾驶人同意；</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（五）饲养犬只不得干扰他人正常生活，不得驱使、放任犬只伤害、恐吓他人；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（六）其他法律法规的相关规定。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eastAsia="仿宋_GB2312"/>
          <w:kern w:val="0"/>
          <w:sz w:val="32"/>
          <w:szCs w:val="32"/>
        </w:rPr>
        <w:t>弘扬尊老爱幼、男女平等、夫妻和睦、勤俭持家、邻里团结的家庭美德，培养和传承优良家风家训。家庭成员之间互敬互爱、相互支持，重视未成年人的教育和引导，关心老年人的生活，赡养老人，不虐待老人，不以暴力方式解决家庭纠纷。</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eastAsia="仿宋_GB2312"/>
          <w:kern w:val="0"/>
          <w:sz w:val="32"/>
          <w:szCs w:val="32"/>
        </w:rPr>
        <w:t>商品生产者、经营者和服务提供者应当依法生产经营，自觉履行法定和约定义务，保障消费者合法权益。</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支持和引导企业主动发布综合信用承诺或者产品服务质量等专项承诺。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鼓励承接城市公共设施经营、建设和房地产开发建设等单位在公共设施和建筑围挡上设置弘扬雷锋精神、践行社会主义核心价值观、建设全国文明城市等方面的公益广告。</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eastAsia="仿宋_GB2312"/>
          <w:kern w:val="0"/>
          <w:sz w:val="32"/>
          <w:szCs w:val="32"/>
        </w:rPr>
        <w:t>市、县（区）人民政府应当建立文明行为表彰制度，定期表彰文明行为、弘扬社会正能量、建设文明城市。</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eastAsia="仿宋_GB2312"/>
          <w:kern w:val="0"/>
          <w:sz w:val="32"/>
          <w:szCs w:val="32"/>
        </w:rPr>
        <w:t>市、县（区）人民政府和有关部门应当采取多种方式开展“文明有礼学雷锋、全民共创文明城”主题活动，倡导广大市民做文明的践行者、促进者，推动形成学礼仪、懂礼仪、讲礼仪、传礼仪的社会风尚。</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eastAsia="仿宋_GB2312"/>
          <w:kern w:val="0"/>
          <w:sz w:val="32"/>
          <w:szCs w:val="32"/>
        </w:rPr>
        <w:t>市、县（区）人民政府应当在公共场所设立展示和纪念设施，宣传模范人物和先进事迹。采取措施维护模范人物合法权益，为其解决实际困难并提供相应礼遇。</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市、县（区）精神文明建设指导委员会办事机构和有关部门应当组织开展“百姓雷锋”、道德模范、最美人物、身边好人、优秀志愿者、新时代好少年等先进典型和先进集体宣传推广活动。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鼓励企业和社会组织对职工、成员弘扬雷锋精神等文明行为进行表彰奖励。</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鼓励引导企业和社会组织在同等条件下优先招用“百姓雷锋”、道德模范等先进人物。</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eastAsia="仿宋_GB2312"/>
          <w:kern w:val="0"/>
          <w:sz w:val="32"/>
          <w:szCs w:val="32"/>
        </w:rPr>
        <w:t>市、县（区）精神文明建设指导委员会办事机构应当定期对文明行为促进工作情况进行督查和社会调查，并向社会公开督查、调查情况。</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eastAsia="仿宋_GB2312"/>
          <w:kern w:val="0"/>
          <w:sz w:val="32"/>
          <w:szCs w:val="32"/>
        </w:rPr>
        <w:t>鼓励和支持公民采取合法方式进行见义勇为，奖励和保护见义勇为人员，并在需要时为其提供法律援助。</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eastAsia="仿宋_GB2312"/>
          <w:kern w:val="0"/>
          <w:sz w:val="32"/>
          <w:szCs w:val="32"/>
        </w:rPr>
        <w:t>鼓励和支持公民参加扶老、助残、救孤、济困、助学、赈灾、助医等社会公德活动，成绩突出的予以表彰。</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eastAsia="仿宋_GB2312"/>
          <w:kern w:val="0"/>
          <w:sz w:val="32"/>
          <w:szCs w:val="32"/>
        </w:rPr>
        <w:t>鼓励和支持公民参加学雷锋志愿服务活动，志愿服务活动组织者应当为志愿者参加活动提供相应的保险；鼓励和支持国家机关、企事业单位、人民团体、社会组织为开展志愿服务提供场所和便利条件，设立爱心服务点，为环卫工人和其他户外工作者等需要帮助的人员提供饮用水、饭菜加热、休憩如厕等便利服务。</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eastAsia="仿宋_GB2312"/>
          <w:kern w:val="0"/>
          <w:sz w:val="32"/>
          <w:szCs w:val="32"/>
        </w:rPr>
        <w:t>鼓励公民无偿献血、捐献造血干细胞、自愿捐献人体器官（组织）和遗体。</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eastAsia="仿宋_GB2312"/>
          <w:kern w:val="0"/>
          <w:sz w:val="32"/>
          <w:szCs w:val="32"/>
        </w:rPr>
        <w:t>市精神文明建设指导委员会办事机构负责组织制定文明公约，建立健全文明创建机制，开展文明城市、文明村镇、文明单位、文明校园、文明家庭等创建活动。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eastAsia="仿宋_GB2312"/>
          <w:kern w:val="0"/>
          <w:sz w:val="32"/>
          <w:szCs w:val="32"/>
        </w:rPr>
        <w:t>市人民政府应当建立文明行为信用激励机制，建立文明行为信用积分制度，提倡诚实守信，将公民的文明行为信用积分纳入统一的社会信用体系，对公民文明行为给予激励。</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市、县（区）精神文明建设指导委员会办事机构应当设立曝光平台，对情节严重、影响恶劣的不文明行为，采取适当方式在适当范围和时限内依法予以曝光，必要时可以向行为人所在单位或者上级主管部门通报。</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eastAsia="仿宋_GB2312"/>
          <w:kern w:val="0"/>
          <w:sz w:val="32"/>
          <w:szCs w:val="32"/>
        </w:rPr>
        <w:t>市、县（区）精神文明建设指导委员会成员单位，应当健全并落实普法责任制，加强文明行为宣传教育，依法查处职责范围内的违法行为，并按照职责做好文明行为促进工作：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（一）文化和旅游部门应当加强公共文化服务，加强文化服务供给，规范文化市场秩序；加强旅游经营者及其从业人员的规范管理，维护正常旅游秩序，加强文明旅游宣传教育和旅游市场监督检查；</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（二）教育部门应当将文明行为教育纳入教育、教学内容，加强思想道德教育，开展教育实践活动，提升师生文明素养；</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（三）民政部门负责婚俗和殡葬改革相关工作，倡导文明新风，依法制止和纠正婚俗和殡葬活动中的不文明行为；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（四）农业农村部门应当组织推进农村移风易俗，推动文明乡风、淳朴民风、良好家风建设，提升农民精神风貌，提高乡村社会文明程度；</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住房和城乡建设、城市管理、生态环境、自然资源、河道管理等部门，应当对损害市容环境、市政基础设施、生态环境、城乡绿化等不文明行为加强监管，及时劝阻并有效制止；科学规划增加居民停车位供给，促进文明停车、规范停车；</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（六）公安机关应当加强道路交通管理，维护道路交通安全与秩序，有效制止交通不文明行为</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规范养犬行为；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（七）交通运输部门应当加强对公共汽车、出租车等客运经营单位的监督管理，提高从业人员职业道德和文明素质，提升文明服务水平；</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（八）卫生健康部门应当加强文明行医、文明就医宣传，加强医务人员职业道德建设，公开简化就医流程，改善医疗服务，维护公平有序就医环境；</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（九）市场监督管理部门应当规范和维护市场秩序，营造诚实守信、公平竞争的市场环境，制止低俗虚假宣传、价格欺诈等损害消费者权益的不文明经营行为；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（十）互联网信息管理机构应当加强网络文明建设，完善互联网信息内容管理和监督机制，加强对网络不文明行为的监测和治理。</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eastAsia="仿宋_GB2312"/>
          <w:kern w:val="0"/>
          <w:sz w:val="32"/>
          <w:szCs w:val="32"/>
        </w:rPr>
        <w:t>市、县（区）人民政府及有关部门应当加强对下列公共服务设施的规划、建设、维护和管理，保障文明行为促进工作的实施：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（一）交通标志、交通标线、交通信号灯、交通监控系统等交通设施；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（二）人行横道、过街天桥、地下通道、绿化照明、停车泊位等市政设施；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（三）盲道、坡道、电梯等无障碍设施；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（四）公共厕所，垃圾、污水处理等环卫设施；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（五）体育场（馆）、图书馆、文化馆、美术馆、博物馆、影剧院等公共文化设施；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（六）公园、广场等休闲娱乐设施；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（七）居住小区、街道、楼宇、门牌等地名标识标志设施；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（八）公益广告栏、宣传栏，文明行为提示牌等广告宣传设施；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（九）其他与文明行为促进有关的设施。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第二十八条 </w:t>
      </w:r>
      <w:r>
        <w:rPr>
          <w:rFonts w:ascii="仿宋_GB2312" w:hAnsi="仿宋_GB2312" w:cs="仿宋_GB2312" w:hint="eastAsia" w:eastAsia="仿宋_GB2312"/>
          <w:kern w:val="0"/>
          <w:sz w:val="32"/>
          <w:szCs w:val="32"/>
        </w:rPr>
        <w:t xml:space="preserve">村（居）民委员会应当组织村（居）民制定村规民约、居民公约，弘扬文明新风，倡导言行知礼、诚实守信、崇德向善、孝善齐家、邻里守望、节约环保的社会风气。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第二十九条 </w:t>
      </w:r>
      <w:r>
        <w:rPr>
          <w:rFonts w:ascii="仿宋_GB2312" w:hAnsi="仿宋_GB2312" w:cs="仿宋_GB2312" w:hint="eastAsia" w:eastAsia="仿宋_GB2312"/>
          <w:kern w:val="0"/>
          <w:sz w:val="32"/>
          <w:szCs w:val="32"/>
        </w:rPr>
        <w:t>符合相关条件的车站、医疗机构、大型商场等公共场所，以及女职工集中的国家机关、企事业单位，应当按照有关规定配备独立的母婴室。</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商业区、重要的公共设施、交通枢纽、二级甲等以上医院，应当按照相关标准设置无障碍卫生间。</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鼓励在人员密集场所根据需要设置无障碍停车位、自动体外除颤仪等设施设备。</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eastAsia="仿宋_GB2312"/>
          <w:kern w:val="0"/>
          <w:sz w:val="32"/>
          <w:szCs w:val="32"/>
        </w:rPr>
        <w:t>违反本条例第八条规定，在城市建成区内饲养畜禽，影响市容和环境卫生的，由住房和城乡建设部门责令限期处理或者予以没收，可以并处</w:t>
      </w:r>
      <w:r>
        <w:rPr>
          <w:rFonts w:eastAsia="仿宋_GB2312" w:cs="仿宋_GB2312" w:hint="eastAsia" w:ascii="仿宋_GB2312" w:hAnsi="仿宋_GB2312"/>
          <w:kern w:val="0"/>
          <w:sz w:val="32"/>
          <w:szCs w:val="32"/>
        </w:rPr>
        <w:t>100</w:t>
      </w:r>
      <w:r>
        <w:rPr>
          <w:rFonts w:ascii="仿宋_GB2312" w:hAnsi="仿宋_GB2312" w:cs="仿宋_GB2312" w:hint="eastAsia" w:eastAsia="仿宋_GB2312"/>
          <w:kern w:val="0"/>
          <w:sz w:val="32"/>
          <w:szCs w:val="32"/>
        </w:rPr>
        <w:t>元以上</w:t>
      </w:r>
      <w:r>
        <w:rPr>
          <w:rFonts w:eastAsia="仿宋_GB2312" w:cs="仿宋_GB2312" w:hint="eastAsia" w:ascii="仿宋_GB2312" w:hAnsi="仿宋_GB2312"/>
          <w:kern w:val="0"/>
          <w:sz w:val="32"/>
          <w:szCs w:val="32"/>
        </w:rPr>
        <w:t>500</w:t>
      </w:r>
      <w:r>
        <w:rPr>
          <w:rFonts w:ascii="仿宋_GB2312" w:hAnsi="仿宋_GB2312" w:cs="仿宋_GB2312" w:hint="eastAsia" w:eastAsia="仿宋_GB2312"/>
          <w:kern w:val="0"/>
          <w:sz w:val="32"/>
          <w:szCs w:val="32"/>
        </w:rPr>
        <w:t>元以下的罚款。</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违反本条例第八条规定，随地吐痰、便溺，乱扔果皮、纸屑和烟头等废弃物的，由住房和城乡建设部门责令其纠正违法行为、采取补救措施，可以并处警告或者</w:t>
      </w:r>
      <w:r>
        <w:rPr>
          <w:rFonts w:eastAsia="仿宋_GB2312" w:cs="仿宋_GB2312" w:hint="eastAsia" w:ascii="仿宋_GB2312" w:hAnsi="仿宋_GB2312"/>
          <w:kern w:val="0"/>
          <w:sz w:val="32"/>
          <w:szCs w:val="32"/>
        </w:rPr>
        <w:t>50</w:t>
      </w:r>
      <w:r>
        <w:rPr>
          <w:rFonts w:ascii="仿宋_GB2312" w:hAnsi="仿宋_GB2312" w:cs="仿宋_GB2312" w:hint="eastAsia" w:eastAsia="仿宋_GB2312"/>
          <w:kern w:val="0"/>
          <w:sz w:val="32"/>
          <w:szCs w:val="32"/>
        </w:rPr>
        <w:t>元的罚款。</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相关执法部门应当建立不文明行为举报、投诉、查处制度，公布举报投诉电话、邮箱，受理举报、投诉，并对违反本条例规定的行为依据相关的法律、法规、规章予以查处。任何单位和个人发现不文明行为，有权举报、投诉。</w:t>
      </w:r>
    </w:p>
    <w:p>
      <w:pPr>
        <w:pStyle w:val="Normal"/>
        <w:spacing w:lineRule="exact" w:line="580"/>
        <w:ind w:firstLineChars="200" w:startChars="0" w:start="0" w:endChars="0" w:end="0"/>
        <w:rPr/>
      </w:pPr>
      <w:r>
        <w:rPr>
          <w:rFonts w:ascii="黑体" w:hAnsi="黑体" w:cs="黑体" w:hint="eastAsia" w:eastAsia="黑体"/>
          <w:kern w:val="0"/>
          <w:sz w:val="32"/>
          <w:szCs w:val="32"/>
        </w:rPr>
        <w:t xml:space="preserve">第三十一条 </w:t>
      </w:r>
      <w:r>
        <w:rPr>
          <w:rFonts w:ascii="仿宋_GB2312" w:hAnsi="仿宋_GB2312" w:cs="仿宋_GB2312" w:hint="eastAsia" w:eastAsia="仿宋_GB2312"/>
          <w:kern w:val="0"/>
          <w:sz w:val="32"/>
          <w:szCs w:val="32"/>
        </w:rPr>
        <w:t>本条例自</w:t>
      </w:r>
      <w:r>
        <w:rPr>
          <w:rFonts w:eastAsia="仿宋_GB2312" w:cs="仿宋_GB2312" w:hint="eastAsia" w:ascii="仿宋_GB2312" w:hAnsi="仿宋_GB2312"/>
          <w:kern w:val="0"/>
          <w:sz w:val="32"/>
          <w:szCs w:val="32"/>
        </w:rPr>
        <w:t>2022</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日起施行。</w:t>
      </w:r>
    </w:p>
    <w:sectPr>
      <w:headerReference w:type="default" r:id="rId2"/>
      <w:footerReference w:type="default" r:id="rId3"/>
      <w:type w:val="nextPage"/>
      <w:pgSz w:w="11906" w:h="16838"/>
      <w:pgMar w:left="1531" w:right="1418" w:gutter="0" w:header="851"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等线 Light">
    <w:altName w:val="方正中楷繁体"/>
    <w:charset w:val="00" w:characterSet="windows-1252"/>
    <w:family w:val="auto"/>
    <w:pitch w:val="default"/>
  </w:font>
  <w:font w:name="宋体">
    <w:altName w:val="方正书宋_GBK"/>
    <w:charset w:val="86"/>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仿宋">
    <w:charset w:val="86"/>
    <w:family w:val="modern"/>
    <w:pitch w:val="default"/>
  </w:font>
  <w:font w:name="楷体">
    <w:charset w:val="86"/>
    <w:family w:val="modern"/>
    <w:pitch w:val="default"/>
  </w:font>
  <w:font w:name="楷体_GB2312">
    <w:altName w:val="楷体"/>
    <w:charset w:val="00" w:characterSet="windows-1252"/>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方正书宋_GBK" w:hAnsi="宋体;方正书宋_GBK" w:cs="宋体;方正书宋_GBK" w:hint="eastAsia"/>
                              <w:sz w:val="28"/>
                            </w:rPr>
                          </w:pPr>
                          <w:r>
                            <w:rPr>
                              <w:rFonts w:cs="宋体;方正书宋_GBK" w:hint="eastAsia" w:ascii="宋体;方正书宋_GBK" w:hAnsi="宋体;方正书宋_GBK"/>
                              <w:sz w:val="28"/>
                            </w:rPr>
                            <w:fldChar w:fldCharType="begin"/>
                          </w:r>
                          <w:r>
                            <w:rPr>
                              <w:rFonts w:cs="宋体;方正书宋_GBK" w:hint="eastAsia" w:ascii="宋体;方正书宋_GBK" w:hAnsi="宋体;方正书宋_GBK"/>
                              <w:sz w:val="28"/>
                            </w:rPr>
                            <w:instrText xml:space="preserve"> PAGE </w:instrText>
                          </w:r>
                          <w:r>
                            <w:rPr>
                              <w:rFonts w:cs="宋体;方正书宋_GBK" w:hint="eastAsia" w:ascii="宋体;方正书宋_GBK" w:hAnsi="宋体;方正书宋_GBK"/>
                              <w:sz w:val="28"/>
                            </w:rPr>
                            <w:fldChar w:fldCharType="separate"/>
                          </w:r>
                          <w:r>
                            <w:rPr>
                              <w:rFonts w:cs="宋体;方正书宋_GBK" w:hint="eastAsia" w:ascii="宋体;方正书宋_GBK" w:hAnsi="宋体;方正书宋_GBK"/>
                              <w:sz w:val="28"/>
                            </w:rPr>
                            <w:t>12</w:t>
                          </w:r>
                          <w:r>
                            <w:rPr>
                              <w:rFonts w:cs="宋体;方正书宋_GBK" w:hint="eastAsia" w:ascii="宋体;方正书宋_GBK" w:hAnsi="宋体;方正书宋_GBK"/>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方正书宋_GBK" w:hAnsi="宋体;方正书宋_GBK" w:cs="宋体;方正书宋_GBK" w:hint="eastAsia"/>
                        <w:sz w:val="28"/>
                      </w:rPr>
                    </w:pPr>
                    <w:r>
                      <w:rPr>
                        <w:rFonts w:cs="宋体;方正书宋_GBK" w:hint="eastAsia" w:ascii="宋体;方正书宋_GBK" w:hAnsi="宋体;方正书宋_GBK"/>
                        <w:sz w:val="28"/>
                      </w:rPr>
                      <w:fldChar w:fldCharType="begin"/>
                    </w:r>
                    <w:r>
                      <w:rPr>
                        <w:rFonts w:cs="宋体;方正书宋_GBK" w:hint="eastAsia" w:ascii="宋体;方正书宋_GBK" w:hAnsi="宋体;方正书宋_GBK"/>
                        <w:sz w:val="28"/>
                      </w:rPr>
                      <w:instrText xml:space="preserve"> PAGE </w:instrText>
                    </w:r>
                    <w:r>
                      <w:rPr>
                        <w:rFonts w:cs="宋体;方正书宋_GBK" w:hint="eastAsia" w:ascii="宋体;方正书宋_GBK" w:hAnsi="宋体;方正书宋_GBK"/>
                        <w:sz w:val="28"/>
                      </w:rPr>
                      <w:fldChar w:fldCharType="separate"/>
                    </w:r>
                    <w:r>
                      <w:rPr>
                        <w:rFonts w:cs="宋体;方正书宋_GBK" w:hint="eastAsia" w:ascii="宋体;方正书宋_GBK" w:hAnsi="宋体;方正书宋_GBK"/>
                        <w:sz w:val="28"/>
                      </w:rPr>
                      <w:t>12</w:t>
                    </w:r>
                    <w:r>
                      <w:rPr>
                        <w:rFonts w:cs="宋体;方正书宋_GBK" w:hint="eastAsia" w:ascii="宋体;方正书宋_GBK" w:hAnsi="宋体;方正书宋_GBK"/>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方正中楷繁体" w:hAnsi="等线 Light;方正中楷繁体" w:eastAsia="华文楷体;方正楷体_GBK" w:cs="等线 Light;方正中楷繁体"/>
      <w:bCs/>
      <w:kern w:val="2"/>
      <w:sz w:val="32"/>
      <w:szCs w:val="32"/>
    </w:rPr>
  </w:style>
  <w:style w:type="character" w:styleId="Style13">
    <w:name w:val="默认段落字体"/>
    <w:qFormat/>
    <w:rPr/>
  </w:style>
  <w:style w:type="character" w:styleId="Heading2Char">
    <w:name w:val="Heading 2 Char"/>
    <w:basedOn w:val="Style13"/>
    <w:qFormat/>
    <w:rPr>
      <w:rFonts w:ascii="等线 Light;方正中楷繁体" w:hAnsi="等线 Light;方正中楷繁体" w:eastAsia="华文楷体;方正楷体_GBK" w:cs="等线 Light;方正中楷繁体"/>
      <w:bCs/>
      <w:kern w:val="2"/>
      <w:sz w:val="32"/>
      <w:szCs w:val="32"/>
      <w:lang w:bidi="ar-SA"/>
    </w:rPr>
  </w:style>
  <w:style w:type="character" w:styleId="CommentTextChar">
    <w:name w:val="Comment Text Char"/>
    <w:basedOn w:val="Style13"/>
    <w:qFormat/>
    <w:rPr>
      <w:rFonts w:eastAsia="宋体;方正书宋_GBK"/>
      <w:kern w:val="2"/>
      <w:sz w:val="21"/>
      <w:lang w:bidi="ar-SA"/>
    </w:rPr>
  </w:style>
  <w:style w:type="character" w:styleId="PlainTextChar">
    <w:name w:val="Plain Text Char"/>
    <w:basedOn w:val="Style13"/>
    <w:qFormat/>
    <w:rPr>
      <w:rFonts w:ascii="宋体;方正书宋_GBK" w:hAnsi="宋体;方正书宋_GBK" w:eastAsia="宋体;方正书宋_GBK" w:cs="Courier New;DejaVu Sans"/>
      <w:kern w:val="2"/>
      <w:sz w:val="21"/>
      <w:szCs w:val="21"/>
      <w:lang w:bidi="ar-SA"/>
    </w:rPr>
  </w:style>
  <w:style w:type="character" w:styleId="FooterChar">
    <w:name w:val="Footer Char"/>
    <w:basedOn w:val="Style13"/>
    <w:qFormat/>
    <w:rPr>
      <w:rFonts w:eastAsia="宋体;方正书宋_GBK"/>
      <w:kern w:val="2"/>
      <w:sz w:val="18"/>
      <w:szCs w:val="18"/>
      <w:lang w:bidi="ar-SA"/>
    </w:rPr>
  </w:style>
  <w:style w:type="character" w:styleId="PageNumber">
    <w:name w:val="page number"/>
    <w:basedOn w:val="Style13"/>
    <w:rPr/>
  </w:style>
  <w:style w:type="character" w:styleId="Hyperlink">
    <w:name w:val="Hyperlink"/>
    <w:rPr>
      <w:color w:val="0000FF"/>
      <w:u w:val="single"/>
    </w:rPr>
  </w:style>
  <w:style w:type="character" w:styleId="apple-converted-space">
    <w:name w:val="apple-converted-space"/>
    <w:basedOn w:val="Style13"/>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1">
    <w:name w:val="Char1"/>
    <w:basedOn w:val="Normal"/>
    <w:qFormat/>
    <w:pPr/>
    <w:rPr/>
  </w:style>
  <w:style w:type="paragraph" w:styleId="Style14">
    <w:name w:val="批注文字"/>
    <w:basedOn w:val="Normal"/>
    <w:qFormat/>
    <w:pPr>
      <w:jc w:val="start"/>
    </w:pPr>
    <w:rPr>
      <w:rFonts w:eastAsia="宋体;方正书宋_GBK"/>
      <w:kern w:val="2"/>
      <w:sz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Style15">
    <w:name w:val="纯文本"/>
    <w:basedOn w:val="Normal"/>
    <w:qFormat/>
    <w:pPr/>
    <w:rPr>
      <w:rFonts w:ascii="宋体;方正书宋_GBK" w:hAnsi="宋体;方正书宋_GBK" w:eastAsia="宋体;方正书宋_GBK" w:cs="Courier New;DejaVu Sans"/>
      <w:kern w:val="2"/>
      <w:sz w:val="21"/>
      <w:szCs w:val="21"/>
    </w:rPr>
  </w:style>
  <w:style w:type="paragraph" w:styleId="Style16">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方正书宋_GBK"/>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
    <w:name w:val="正文 New New New New New New New New New"/>
    <w:qFormat/>
    <w:pPr>
      <w:widowControl w:val="false"/>
      <w:bidi w:val="0"/>
      <w:jc w:val="both"/>
    </w:pPr>
    <w:rPr>
      <w:rFonts w:ascii="宋体;方正书宋_GBK" w:hAnsi="宋体;方正书宋_GBK" w:eastAsia="方正仿宋简体" w:cs="Times New Roman;Nimbus Roman No9 L"/>
      <w:color w:val="auto"/>
      <w:kern w:val="2"/>
      <w:sz w:val="32"/>
      <w:szCs w:val="24"/>
      <w:lang w:val="en-US" w:eastAsia="zh-CN" w:bidi="hi-IN"/>
    </w:rPr>
  </w:style>
  <w:style w:type="paragraph" w:styleId="NewNewNewNewNewNewNewNew">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
    <w:name w:val="正文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1"/>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val="en-US" w:eastAsia="zh-CN" w:bidi="hi-IN"/>
    </w:rPr>
  </w:style>
  <w:style w:type="paragraph" w:styleId="NewNewNewNewNew">
    <w:name w:val="正文 New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Nimbus Roman No9 L" w:hAnsi="Times New Roman;Nimbus Roman No9 L" w:eastAsia="宋体;方正书宋_GBK" w:cs="Times New Roman;Nimbus Roman No9 L"/>
      <w:kern w:val="2"/>
      <w:sz w:val="18"/>
      <w:szCs w:val="18"/>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
    <w:name w:val="正文 New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New">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ormal1">
    <w:name w:val="Normal1"/>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2"/>
      <w:lang w:val="en-US" w:eastAsia="zh-CN" w:bidi="hi-IN"/>
    </w:rPr>
  </w:style>
  <w:style w:type="paragraph" w:styleId="NewNewNewNewNewNewNewNewNewNewNew1">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32"/>
      <w:szCs w:val="32"/>
      <w:lang w:bidi="ar-SA" w:val="en-US" w:eastAsia="zh-CN"/>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Nimbus Roman No9 L" w:hAnsi="Times New Roman;Nimbus Roman No9 L" w:eastAsia="仿宋" w:cs="Times New Roman;Nimbus Roman No9 L"/>
      <w:color w:val="auto"/>
      <w:kern w:val="0"/>
      <w:sz w:val="32"/>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
    <w:name w:val="正文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1">
    <w:name w:val="正文文本缩进 New"/>
    <w:basedOn w:val="Normal"/>
    <w:qFormat/>
    <w:pPr>
      <w:ind w:firstLineChars="200" w:startChars="0" w:start="0" w:endChars="0" w:end="0"/>
    </w:pPr>
    <w:rPr>
      <w:rFonts w:ascii="宋体;方正书宋_GBK" w:hAnsi="宋体;方正书宋_GBK" w:cs="宋体;方正书宋_GBK"/>
      <w:b/>
      <w:sz w:val="44"/>
      <w:szCs w:val="44"/>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1">
    <w:name w:val="正文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Calibri;DejaVu Sans"/>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仿宋" w:cs="黑体"/>
      <w:color w:val="auto"/>
      <w:kern w:val="2"/>
      <w:sz w:val="32"/>
      <w:szCs w:val="22"/>
      <w:lang w:val="en-US" w:eastAsia="zh-CN" w:bidi="hi-I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1">
    <w:name w:val="正文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ListParagraph">
    <w:name w:val="List Paragraph"/>
    <w:basedOn w:val="Normal"/>
    <w:qFormat/>
    <w:pPr>
      <w:ind w:firstLineChars="200" w:startChars="0" w:start="0" w:endChars="0" w:end="0"/>
    </w:pPr>
    <w:rPr>
      <w:rFonts w:ascii="Calibri;DejaVu Sans" w:hAnsi="Calibri;DejaVu Sans" w:cs="Calibri;DejaVu Sans"/>
      <w:szCs w:val="22"/>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ormalWeb">
    <w:name w:val="Normal (Web)"/>
    <w:basedOn w:val="NewNewNewNewNewNewNewNewNew"/>
    <w:qFormat/>
    <w:pPr>
      <w:widowControl/>
      <w:spacing w:before="100" w:after="100"/>
      <w:jc w:val="start"/>
    </w:pPr>
    <w:rPr>
      <w:rFonts w:eastAsia="宋体;方正书宋_GBK" w:cs="宋体;方正书宋_GBK"/>
      <w:kern w:val="0"/>
      <w:sz w:val="24"/>
    </w:rPr>
  </w:style>
  <w:style w:type="paragraph" w:styleId="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
    <w:name w:val="正文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1">
    <w:name w:val="正文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2">
    <w:name w:val="正文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ListParagraphNew">
    <w:name w:val="List Paragraph New"/>
    <w:basedOn w:val="New2"/>
    <w:qFormat/>
    <w:pPr>
      <w:ind w:firstLineChars="200" w:startChars="0" w:start="0" w:endChars="0" w:end="0"/>
    </w:pPr>
    <w:rPr>
      <w:rFonts w:ascii="Calibri;DejaVu Sans" w:hAnsi="Calibri;DejaVu Sans" w:eastAsia="宋体;方正书宋_GBK" w:cs="黑体"/>
      <w:szCs w:val="22"/>
    </w:rPr>
  </w:style>
  <w:style w:type="paragraph" w:styleId="NewNew1">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Style18">
    <w:name w:val="无间隔"/>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1">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1">
    <w:name w:val="正文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2">
    <w:name w:val="正文 New New"/>
    <w:qFormat/>
    <w:pPr>
      <w:widowControl w:val="false"/>
      <w:bidi w:val="0"/>
      <w:jc w:val="both"/>
    </w:pPr>
    <w:rPr>
      <w:rFonts w:ascii="Calibri;DejaVu Sans" w:hAnsi="Calibri;DejaVu Sans" w:eastAsia="宋体;方正书宋_GBK" w:cs="Calibri;DejaVu Sans"/>
      <w:color w:val="auto"/>
      <w:kern w:val="2"/>
      <w:sz w:val="21"/>
      <w:szCs w:val="22"/>
      <w:lang w:val="en-US" w:eastAsia="zh-CN" w:bidi="hi-IN"/>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
    <w:name w:val="正文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1">
    <w:name w:val="正文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val="en-US" w:eastAsia="zh-CN" w:bidi="hi-IN"/>
    </w:rPr>
  </w:style>
  <w:style w:type="paragraph" w:styleId="NewNewNewNewNewNewNewNewNewNewNewNew1">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1">
    <w:name w:val="正文 New New New New New New New New New New"/>
    <w:qFormat/>
    <w:pPr>
      <w:widowControl w:val="false"/>
      <w:bidi w:val="0"/>
      <w:jc w:val="both"/>
    </w:pPr>
    <w:rPr>
      <w:rFonts w:ascii="Calibri;DejaVu Sans" w:hAnsi="Calibri;DejaVu Sans" w:eastAsia="宋体;方正书宋_GBK" w:cs="黑体"/>
      <w:color w:val="auto"/>
      <w:kern w:val="2"/>
      <w:sz w:val="21"/>
      <w:szCs w:val="24"/>
      <w:lang w:val="en-US" w:eastAsia="zh-CN" w:bidi="hi-IN"/>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Nimbus Roman No9 L" w:hAnsi="Times New Roman;Nimbus Roman No9 L" w:eastAsia="宋体;方正书宋_GBK" w:cs="Times New Roman;Nimbus Roman No9 L"/>
      <w:color w:val="auto"/>
      <w:kern w:val="0"/>
      <w:sz w:val="21"/>
      <w:szCs w:val="24"/>
      <w:lang w:val="en-US" w:eastAsia="zh-CN" w:bidi="hi-IN"/>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Times New Roman;Nimbus Roman No9 L"/>
      <w:color w:val="auto"/>
      <w:kern w:val="2"/>
      <w:sz w:val="21"/>
      <w:szCs w:val="22"/>
      <w:lang w:val="en-US" w:eastAsia="zh-CN" w:bidi="hi-IN"/>
    </w:rPr>
  </w:style>
  <w:style w:type="paragraph" w:styleId="NormalNewNewNew">
    <w:name w:val="Normal New New New"/>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DejaVu Sans" w:hAnsi="Calibri;DejaVu Sans" w:eastAsia="宋体;方正书宋_GBK" w:cs="黑体"/>
      <w:color w:val="auto"/>
      <w:kern w:val="2"/>
      <w:sz w:val="21"/>
      <w:szCs w:val="22"/>
      <w:lang w:bidi="ar-SA" w:val="en-US" w:eastAsia="zh-CN"/>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Nimbus Roman No9 L" w:hAnsi="Times New Roman;Nimbus Roman No9 L" w:eastAsia="宋体;方正书宋_GBK" w:cs="Times New Roman;Nimbus Roman No9 L"/>
      <w:kern w:val="2"/>
      <w:sz w:val="18"/>
      <w:szCs w:val="18"/>
    </w:rPr>
  </w:style>
  <w:style w:type="paragraph" w:styleId="NewNewNewNewNewNew1">
    <w:name w:val="正文 New New New New New New"/>
    <w:qFormat/>
    <w:pPr>
      <w:widowControl w:val="false"/>
      <w:bidi w:val="0"/>
      <w:jc w:val="both"/>
    </w:pPr>
    <w:rPr>
      <w:rFonts w:ascii="Times New Roman;Nimbus Roman No9 L" w:hAnsi="Times New Roman;Nimbus Roman No9 L" w:eastAsia="仿宋_GB2312" w:cs="Times New Roman;Nimbus Roman No9 L"/>
      <w:color w:val="auto"/>
      <w:kern w:val="2"/>
      <w:sz w:val="32"/>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0"/>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ormalNew">
    <w:name w:val="Normal New"/>
    <w:qFormat/>
    <w:pPr>
      <w:widowControl w:val="false"/>
      <w:bidi w:val="0"/>
      <w:jc w:val="both"/>
    </w:pPr>
    <w:rPr>
      <w:rFonts w:ascii="Times New Roman;Nimbus Roman No9 L" w:hAnsi="Times New Roman;Nimbus Roman No9 L" w:eastAsia="宋体;方正书宋_GBK" w:cs="Times New Roman;Nimbus Roman No9 L" w:hint="eastAsia"/>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Nimbus Roman No9 L" w:hAnsi="Times New Roman;Nimbus Roman No9 L" w:eastAsia="方正仿宋简体" w:cs="Times New Roman;Nimbus Roman No9 L"/>
      <w:color w:val="000000"/>
      <w:kern w:val="2"/>
      <w:sz w:val="33"/>
      <w:szCs w:val="33"/>
      <w:lang w:bidi="ar-SA" w:val="en-US" w:eastAsia="zh-CN"/>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DejaVu Sans" w:hAnsi="Calibri;DejaVu Sans" w:eastAsia="宋体;方正书宋_GBK" w:cs="Times New Roman;Nimbus Roman No9 L"/>
      <w:sz w:val="18"/>
      <w:szCs w:val="18"/>
    </w:rPr>
  </w:style>
  <w:style w:type="paragraph" w:styleId="NewNewNewNewNew2">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2">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2">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3">
    <w:name w:val="页脚 New"/>
    <w:basedOn w:val="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2019-03-30T01:35:00Z</dcterms:created>
  <dc:creator>1</dc:creator>
  <dc:description/>
  <dc:language>en-US</dc:language>
  <cp:lastModifiedBy>lnrd</cp:lastModifiedBy>
  <cp:lastPrinted>2020-04-07T10:17:00Z</cp:lastPrinted>
  <dcterms:modified xsi:type="dcterms:W3CDTF">2021-11-17T18:52:19Z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