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hint="eastAsia"/>
        </w:rPr>
      </w:pPr>
      <w:r>
        <w:rPr>
          <w:rFonts w:hint="eastAsia"/>
        </w:rPr>
      </w:r>
    </w:p>
    <w:p>
      <w:pPr>
        <w:pStyle w:val="Normal"/>
        <w:keepNext w:val="false"/>
        <w:keepLines w:val="false"/>
        <w:pageBreakBefore w:val="false"/>
        <w:widowControl/>
        <w:kinsoku w:val="true"/>
        <w:overflowPunct w:val="true"/>
        <w:autoSpaceDE w:val="true"/>
        <w:bidi w:val="0"/>
        <w:snapToGrid w:val="true"/>
        <w:spacing w:lineRule="auto" w:line="240"/>
        <w:jc w:val="center"/>
        <w:textAlignment w:val="auto"/>
        <w:rPr>
          <w:rFonts w:ascii="宋体" w:hAnsi="宋体" w:eastAsia="宋体" w:cs="宋体" w:hint="eastAsia"/>
          <w:b w:val="false"/>
          <w:bCs/>
          <w:kern w:val="2"/>
          <w:sz w:val="44"/>
          <w:szCs w:val="24"/>
        </w:rPr>
      </w:pPr>
      <w:r>
        <w:rPr>
          <w:rFonts w:ascii="宋体" w:hAnsi="宋体" w:cs="宋体" w:hint="eastAsia"/>
          <w:b w:val="false"/>
          <w:bCs/>
          <w:kern w:val="2"/>
          <w:sz w:val="44"/>
          <w:szCs w:val="24"/>
        </w:rPr>
        <w:t>沈阳市市政基础设施工程质量管理条例</w:t>
      </w:r>
    </w:p>
    <w:p>
      <w:pPr>
        <w:pStyle w:val="Normal"/>
        <w:keepNext w:val="false"/>
        <w:keepLines w:val="false"/>
        <w:pageBreakBefore w:val="false"/>
        <w:widowControl w:val="false"/>
        <w:kinsoku w:val="true"/>
        <w:overflowPunct w:val="true"/>
        <w:bidi w:val="0"/>
        <w:snapToGrid w:val="true"/>
        <w:spacing w:lineRule="auto" w:line="240"/>
        <w:jc w:val="center"/>
        <w:textAlignment w:val="auto"/>
        <w:rPr>
          <w:rFonts w:ascii="黑体" w:hAnsi="黑体" w:eastAsia="黑体" w:cs="黑体" w:hint="eastAsia"/>
          <w:b/>
          <w:bCs/>
          <w:kern w:val="0"/>
          <w:sz w:val="24"/>
          <w:szCs w:val="24"/>
        </w:rPr>
      </w:pPr>
      <w:r>
        <w:rPr>
          <w:rFonts w:eastAsia="黑体" w:cs="黑体" w:hint="eastAsia" w:ascii="黑体" w:hAnsi="黑体"/>
          <w:b/>
          <w:bCs/>
          <w:kern w:val="0"/>
          <w:sz w:val="24"/>
          <w:szCs w:val="24"/>
        </w:rPr>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startChars="200" w:endChars="0" w:end="0"/>
        <w:jc w:val="both"/>
        <w:textAlignment w:val="auto"/>
        <w:rPr>
          <w:rFonts w:ascii="楷体_GB2312;楷体" w:hAnsi="楷体_GB2312;楷体" w:eastAsia="楷体_GB2312;楷体" w:cs="黑体" w:hint="eastAsia"/>
          <w:bCs/>
          <w:kern w:val="0"/>
          <w:sz w:val="32"/>
          <w:szCs w:val="32"/>
        </w:rPr>
      </w:pP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12</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1</w:t>
      </w:r>
      <w:r>
        <w:rPr>
          <w:rFonts w:ascii="楷体_GB2312;楷体" w:hAnsi="楷体_GB2312;楷体" w:cs="楷体_GB2312;楷体" w:hint="eastAsia" w:eastAsia="楷体_GB2312;楷体"/>
          <w:b w:val="false"/>
          <w:bCs w:val="false"/>
          <w:sz w:val="32"/>
          <w:szCs w:val="32"/>
        </w:rPr>
        <w:t xml:space="preserve">日沈阳市第十七届人民代表大会常务委员会第六次会议通过  </w:t>
      </w:r>
      <w:r>
        <w:rPr>
          <w:rFonts w:eastAsia="楷体_GB2312;楷体" w:cs="楷体_GB2312;楷体" w:hint="eastAsia" w:ascii="楷体_GB2312;楷体" w:hAnsi="楷体_GB2312;楷体"/>
          <w:b w:val="false"/>
          <w:bCs w:val="false"/>
          <w:sz w:val="32"/>
          <w:szCs w:val="32"/>
        </w:rPr>
        <w:t>2023</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3</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29</w:t>
      </w:r>
      <w:r>
        <w:rPr>
          <w:rFonts w:ascii="楷体_GB2312;楷体" w:hAnsi="楷体_GB2312;楷体" w:cs="楷体_GB2312;楷体" w:hint="eastAsia" w:eastAsia="楷体_GB2312;楷体"/>
          <w:b w:val="false"/>
          <w:bCs w:val="false"/>
          <w:sz w:val="32"/>
          <w:szCs w:val="32"/>
        </w:rPr>
        <w:t>日辽宁省第十四届人民代表大会常务委员会第二次会议批准</w:t>
      </w:r>
      <w:r>
        <w:rPr>
          <w:rFonts w:eastAsia="楷体_GB2312;楷体" w:cs="楷体_GB2312;楷体" w:hint="eastAsia" w:ascii="楷体_GB2312;楷体" w:hAnsi="楷体_GB2312;楷体"/>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Cs/>
          <w:kern w:val="0"/>
          <w:sz w:val="32"/>
          <w:szCs w:val="32"/>
        </w:rPr>
      </w:pPr>
      <w:r>
        <w:rPr>
          <w:rFonts w:eastAsia="楷体_GB2312;楷体" w:cs="宋体" w:hint="eastAsia" w:ascii="楷体_GB2312;楷体" w:hAnsi="楷体_GB2312;楷体"/>
          <w:bCs/>
          <w:kern w:val="0"/>
          <w:sz w:val="32"/>
          <w:szCs w:val="32"/>
        </w:rPr>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rPr>
          <w:rFonts w:ascii="仿宋_GB2312;仿宋" w:hAnsi="仿宋_GB2312;仿宋" w:eastAsia="仿宋_GB2312;仿宋" w:cs="仿宋_GB2312;仿宋" w:hint="eastAsia"/>
          <w:b w:val="false"/>
          <w:bCs w:val="false"/>
          <w:kern w:val="0"/>
          <w:sz w:val="32"/>
          <w:szCs w:val="32"/>
        </w:rPr>
      </w:pPr>
      <w:r>
        <w:rPr>
          <w:rFonts w:ascii="黑体" w:hAnsi="黑体" w:cs="黑体" w:hint="eastAsia" w:eastAsia="黑体"/>
          <w:b w:val="false"/>
          <w:bCs w:val="false"/>
          <w:sz w:val="32"/>
          <w:szCs w:val="32"/>
        </w:rPr>
        <w:t xml:space="preserve">第一条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为了</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加强对市政基础设施工程质量</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的监督</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管理，保证工程质量，保护人民生命和财产安全，根据《中华人民共和国建筑法》、</w:t>
      </w:r>
      <w:r>
        <w:rPr>
          <w:rFonts w:ascii="仿宋_GB2312;仿宋" w:hAnsi="仿宋_GB2312;仿宋" w:cs="仿宋_GB2312;仿宋" w:hint="eastAsia" w:eastAsia="仿宋_GB2312;仿宋"/>
          <w:b w:val="false"/>
          <w:bCs w:val="false"/>
          <w:sz w:val="32"/>
          <w:szCs w:val="32"/>
        </w:rPr>
        <w:t>国务院</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《建设工程质量管理条例》等法律、法规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的规定</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，结合本市实际，制定本条例。</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baseline"/>
        <w:rPr>
          <w:rFonts w:ascii="仿宋_GB2312;仿宋" w:hAnsi="仿宋_GB2312;仿宋" w:eastAsia="仿宋_GB2312;仿宋" w:cs="仿宋_GB2312;仿宋" w:hint="eastAsia"/>
          <w:b w:val="false"/>
          <w:bCs w:val="false"/>
          <w:color w:val="000000"/>
          <w:sz w:val="32"/>
          <w:szCs w:val="32"/>
          <w:highlight w:val="none"/>
        </w:rPr>
      </w:pPr>
      <w:r>
        <w:rPr>
          <w:rStyle w:val="Strong"/>
          <w:rFonts w:ascii="黑体" w:hAnsi="黑体" w:cs="黑体" w:hint="eastAsia" w:eastAsia="黑体"/>
          <w:b w:val="false"/>
          <w:bCs w:val="false"/>
          <w:spacing w:val="8"/>
          <w:sz w:val="32"/>
          <w:szCs w:val="32"/>
          <w:shd w:fill="FFFFFF" w:val="clear"/>
        </w:rPr>
        <w:t>第二条</w:t>
      </w:r>
      <w:r>
        <w:rPr>
          <w:rStyle w:val="Strong"/>
          <w:rFonts w:cs="仿宋" w:hint="eastAsia"/>
          <w:b w:val="false"/>
          <w:bCs w:val="false"/>
          <w:spacing w:val="8"/>
          <w:sz w:val="32"/>
          <w:szCs w:val="32"/>
          <w:shd w:fill="FFFFFF" w:val="clear"/>
        </w:rPr>
        <w:t>　</w:t>
      </w:r>
      <w:r>
        <w:rPr>
          <w:rStyle w:val="Strong"/>
          <w:rFonts w:ascii="仿宋_GB2312;仿宋" w:hAnsi="仿宋_GB2312;仿宋" w:cs="仿宋_GB2312;仿宋" w:hint="eastAsia" w:eastAsia="仿宋_GB2312;仿宋"/>
          <w:b w:val="false"/>
          <w:bCs w:val="false"/>
          <w:spacing w:val="8"/>
          <w:sz w:val="32"/>
          <w:szCs w:val="32"/>
          <w:shd w:fill="FFFFFF" w:val="clear"/>
        </w:rPr>
        <w:t>凡在</w:t>
      </w:r>
      <w:r>
        <w:rPr>
          <w:rFonts w:ascii="仿宋_GB2312;仿宋" w:hAnsi="仿宋_GB2312;仿宋" w:cs="仿宋_GB2312;仿宋" w:hint="eastAsia" w:eastAsia="仿宋_GB2312;仿宋"/>
          <w:b w:val="false"/>
          <w:bCs w:val="false"/>
          <w:color w:val="000000"/>
          <w:sz w:val="32"/>
          <w:szCs w:val="32"/>
        </w:rPr>
        <w:t>本市行政区域内</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从事市政基础设施工程（以下简称市政工程）</w:t>
      </w:r>
      <w:r>
        <w:rPr>
          <w:rStyle w:val="Strong"/>
          <w:rFonts w:ascii="仿宋_GB2312;仿宋" w:hAnsi="仿宋_GB2312;仿宋" w:cs="仿宋_GB2312;仿宋" w:hint="eastAsia" w:eastAsia="仿宋_GB2312;仿宋"/>
          <w:b w:val="false"/>
          <w:bCs w:val="false"/>
          <w:spacing w:val="8"/>
          <w:sz w:val="32"/>
          <w:szCs w:val="32"/>
          <w:shd w:fill="FFFFFF" w:val="clear"/>
        </w:rPr>
        <w:t>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新建、扩建、改建等</w:t>
      </w:r>
      <w:r>
        <w:rPr>
          <w:rStyle w:val="Strong"/>
          <w:rFonts w:ascii="仿宋_GB2312;仿宋" w:hAnsi="仿宋_GB2312;仿宋" w:cs="仿宋_GB2312;仿宋" w:hint="eastAsia" w:eastAsia="仿宋_GB2312;仿宋"/>
          <w:b w:val="false"/>
          <w:bCs w:val="false"/>
          <w:spacing w:val="8"/>
          <w:sz w:val="32"/>
          <w:szCs w:val="32"/>
          <w:shd w:fill="FFFFFF" w:val="clear"/>
        </w:rPr>
        <w:t>有关</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活动以</w:t>
      </w:r>
      <w:r>
        <w:rPr>
          <w:rFonts w:ascii="仿宋_GB2312;仿宋" w:hAnsi="仿宋_GB2312;仿宋" w:cs="仿宋_GB2312;仿宋" w:hint="eastAsia" w:eastAsia="仿宋_GB2312;仿宋"/>
          <w:b w:val="false"/>
          <w:bCs w:val="false"/>
          <w:color w:val="000000"/>
          <w:sz w:val="32"/>
          <w:szCs w:val="32"/>
        </w:rPr>
        <w:t>及</w:t>
      </w:r>
      <w:r>
        <w:rPr>
          <w:rStyle w:val="Strong"/>
          <w:rFonts w:ascii="仿宋_GB2312;仿宋" w:hAnsi="仿宋_GB2312;仿宋" w:cs="仿宋_GB2312;仿宋" w:hint="eastAsia" w:eastAsia="仿宋_GB2312;仿宋"/>
          <w:b w:val="false"/>
          <w:bCs w:val="false"/>
          <w:spacing w:val="8"/>
          <w:sz w:val="32"/>
          <w:szCs w:val="32"/>
          <w:shd w:fill="FFFFFF" w:val="clear"/>
        </w:rPr>
        <w:t>实施对市政工程质量监督管理的</w:t>
      </w:r>
      <w:r>
        <w:rPr>
          <w:rFonts w:ascii="仿宋_GB2312;仿宋" w:hAnsi="仿宋_GB2312;仿宋" w:cs="仿宋_GB2312;仿宋" w:hint="eastAsia" w:eastAsia="仿宋_GB2312;仿宋"/>
          <w:b w:val="false"/>
          <w:bCs w:val="false"/>
          <w:color w:val="000000"/>
          <w:sz w:val="32"/>
          <w:szCs w:val="32"/>
        </w:rPr>
        <w:t>，适用本条例。</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baseline"/>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本条例所称市政工程，包括</w:t>
      </w:r>
      <w:r>
        <w:rPr>
          <w:rStyle w:val="Strong"/>
          <w:rFonts w:ascii="仿宋_GB2312;仿宋" w:hAnsi="仿宋_GB2312;仿宋" w:cs="仿宋_GB2312;仿宋" w:hint="eastAsia" w:eastAsia="仿宋_GB2312;仿宋"/>
          <w:b w:val="false"/>
          <w:bCs w:val="false"/>
          <w:spacing w:val="8"/>
          <w:sz w:val="32"/>
          <w:szCs w:val="32"/>
          <w:shd w:fill="FFFFFF" w:val="clear"/>
        </w:rPr>
        <w:t>道路、桥涵、隧道、管网、综合管廊、厂站、城市垃圾处理、绿化、交通安全设施、照明等工程。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Style w:val="Strong"/>
          <w:rFonts w:ascii="黑体" w:hAnsi="黑体" w:cs="黑体" w:hint="eastAsia" w:eastAsia="黑体"/>
          <w:b w:val="false"/>
          <w:bCs w:val="false"/>
          <w:spacing w:val="8"/>
          <w:sz w:val="32"/>
          <w:szCs w:val="32"/>
          <w:shd w:fill="FFFFFF" w:val="clear"/>
        </w:rPr>
        <w:t>第三条</w:t>
      </w:r>
      <w:r>
        <w:rPr>
          <w:rFonts w:cs="仿宋" w:hint="eastAsia"/>
          <w:b w:val="false"/>
          <w:bCs w:val="false"/>
          <w:sz w:val="32"/>
          <w:szCs w:val="32"/>
        </w:rPr>
        <w:t>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市和区、县（市）建设主管部门负责本行政区域内市政工程质量监督管理工作，可以依法委托工程质量监督机构</w:t>
      </w:r>
      <w:r>
        <w:rPr>
          <w:rStyle w:val="Strong"/>
          <w:rFonts w:ascii="仿宋_GB2312;仿宋" w:hAnsi="仿宋_GB2312;仿宋" w:cs="仿宋_GB2312;仿宋" w:hint="eastAsia" w:eastAsia="仿宋_GB2312;仿宋"/>
          <w:b w:val="false"/>
          <w:bCs w:val="false"/>
          <w:spacing w:val="8"/>
          <w:sz w:val="32"/>
          <w:szCs w:val="32"/>
          <w:shd w:fill="FFFFFF" w:val="clear"/>
        </w:rPr>
        <w:t>具体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实施市政工程质量监督管理。</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kern w:val="0"/>
          <w:sz w:val="32"/>
          <w:szCs w:val="32"/>
        </w:rPr>
      </w:pPr>
      <w:r>
        <w:rPr>
          <w:rStyle w:val="Strong"/>
          <w:rFonts w:ascii="仿宋_GB2312;仿宋" w:hAnsi="仿宋_GB2312;仿宋" w:cs="仿宋_GB2312;仿宋" w:hint="eastAsia" w:eastAsia="仿宋_GB2312;仿宋"/>
          <w:b w:val="false"/>
          <w:bCs w:val="false"/>
          <w:spacing w:val="8"/>
          <w:sz w:val="32"/>
          <w:szCs w:val="32"/>
          <w:shd w:fill="FFFFFF" w:val="clear"/>
        </w:rPr>
        <w:t>城市管理行政执法、交通、水务、房产等主管</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部门</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应当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按照各自职责，做好市政工程质量管理</w:t>
      </w:r>
      <w:r>
        <w:rPr>
          <w:rStyle w:val="Strong"/>
          <w:rFonts w:ascii="仿宋_GB2312;仿宋" w:hAnsi="仿宋_GB2312;仿宋" w:cs="仿宋_GB2312;仿宋" w:hint="eastAsia" w:eastAsia="仿宋_GB2312;仿宋"/>
          <w:b w:val="false"/>
          <w:bCs w:val="false"/>
          <w:spacing w:val="8"/>
          <w:sz w:val="32"/>
          <w:szCs w:val="32"/>
          <w:shd w:fill="FFFFFF" w:val="clear"/>
        </w:rPr>
        <w:t>的相关</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工作。</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rPr>
          <w:rFonts w:ascii="仿宋_GB2312;仿宋" w:hAnsi="仿宋_GB2312;仿宋" w:eastAsia="仿宋_GB2312;仿宋" w:cs="仿宋_GB2312;仿宋" w:hint="eastAsia"/>
          <w:b w:val="false"/>
          <w:bCs w:val="false"/>
          <w:sz w:val="32"/>
          <w:szCs w:val="32"/>
        </w:rPr>
      </w:pPr>
      <w:r>
        <w:rPr>
          <w:rStyle w:val="Strong"/>
          <w:rFonts w:ascii="黑体" w:hAnsi="黑体" w:cs="黑体" w:hint="eastAsia" w:eastAsia="黑体"/>
          <w:b w:val="false"/>
          <w:bCs w:val="false"/>
          <w:spacing w:val="8"/>
          <w:sz w:val="32"/>
          <w:szCs w:val="32"/>
          <w:shd w:fill="FFFFFF" w:val="clear"/>
        </w:rPr>
        <w:t>第四条</w:t>
      </w:r>
      <w:r>
        <w:rPr>
          <w:rFonts w:cs="仿宋" w:hint="eastAsia"/>
          <w:b w:val="false"/>
          <w:bCs w:val="false"/>
          <w:sz w:val="32"/>
          <w:szCs w:val="32"/>
        </w:rPr>
        <w:t>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市和区、县（市）建设主管部门应当建立市政工程项目信息管理制度，组织市政工程相关部门</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以</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及建设单位编制拟建和已建市政工程项目库，统筹市政工程项目建设</w:t>
      </w:r>
      <w:r>
        <w:rPr>
          <w:rStyle w:val="Strong"/>
          <w:rFonts w:ascii="仿宋_GB2312;仿宋" w:hAnsi="仿宋_GB2312;仿宋" w:cs="仿宋_GB2312;仿宋" w:hint="eastAsia" w:eastAsia="仿宋_GB2312;仿宋"/>
          <w:b w:val="false"/>
          <w:bCs w:val="false"/>
          <w:spacing w:val="8"/>
          <w:sz w:val="32"/>
          <w:szCs w:val="32"/>
          <w:shd w:fill="FFFFFF" w:val="clear"/>
        </w:rPr>
        <w:t>时序</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，为市政工程</w:t>
      </w:r>
      <w:r>
        <w:rPr>
          <w:rStyle w:val="Strong"/>
          <w:rFonts w:ascii="仿宋_GB2312;仿宋" w:hAnsi="仿宋_GB2312;仿宋" w:cs="仿宋_GB2312;仿宋" w:hint="eastAsia" w:eastAsia="仿宋_GB2312;仿宋"/>
          <w:b w:val="false"/>
          <w:bCs w:val="false"/>
          <w:spacing w:val="8"/>
          <w:sz w:val="32"/>
          <w:szCs w:val="32"/>
          <w:shd w:fill="FFFFFF" w:val="clear"/>
        </w:rPr>
        <w:t>计划、</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建设、维修、养护提供必要的工程信息。</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rPr>
          <w:rFonts w:ascii="仿宋_GB2312;仿宋" w:hAnsi="仿宋_GB2312;仿宋" w:eastAsia="仿宋_GB2312;仿宋" w:cs="仿宋_GB2312;仿宋" w:hint="eastAsia"/>
          <w:b w:val="false"/>
          <w:bCs w:val="false"/>
          <w:sz w:val="32"/>
          <w:szCs w:val="32"/>
        </w:rPr>
      </w:pPr>
      <w:r>
        <w:rPr>
          <w:rStyle w:val="Strong"/>
          <w:rFonts w:ascii="黑体" w:hAnsi="黑体" w:cs="黑体" w:hint="eastAsia" w:eastAsia="黑体"/>
          <w:b w:val="false"/>
          <w:bCs w:val="false"/>
          <w:spacing w:val="8"/>
          <w:sz w:val="32"/>
          <w:szCs w:val="32"/>
          <w:shd w:fill="FFFFFF" w:val="clear"/>
        </w:rPr>
        <w:t>第五条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市和区、县（市）建设主管部门应当加强对市政工程质量责任主体的信用管理，</w:t>
      </w:r>
      <w:r>
        <w:rPr>
          <w:rStyle w:val="Strong"/>
          <w:rFonts w:ascii="仿宋_GB2312;仿宋" w:hAnsi="仿宋_GB2312;仿宋" w:cs="仿宋_GB2312;仿宋" w:hint="eastAsia" w:eastAsia="仿宋_GB2312;仿宋"/>
          <w:b w:val="false"/>
          <w:bCs w:val="false"/>
          <w:spacing w:val="8"/>
          <w:sz w:val="32"/>
          <w:szCs w:val="32"/>
          <w:shd w:fill="FFFFFF" w:val="clear"/>
        </w:rPr>
        <w:t>完善市政工程</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质量责任主体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以</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及</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从业</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人员</w:t>
      </w:r>
      <w:r>
        <w:rPr>
          <w:rStyle w:val="Strong"/>
          <w:rFonts w:ascii="仿宋_GB2312;仿宋" w:hAnsi="仿宋_GB2312;仿宋" w:cs="仿宋_GB2312;仿宋" w:hint="eastAsia" w:eastAsia="仿宋_GB2312;仿宋"/>
          <w:b w:val="false"/>
          <w:bCs w:val="false"/>
          <w:spacing w:val="8"/>
          <w:sz w:val="32"/>
          <w:szCs w:val="32"/>
          <w:shd w:fill="FFFFFF" w:val="clear"/>
        </w:rPr>
        <w:t>信用评价</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管理制度</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加强信用信息公开和共享，</w:t>
      </w:r>
      <w:r>
        <w:rPr>
          <w:rStyle w:val="Strong"/>
          <w:rFonts w:ascii="仿宋_GB2312;仿宋" w:hAnsi="仿宋_GB2312;仿宋" w:cs="仿宋_GB2312;仿宋" w:hint="eastAsia" w:eastAsia="仿宋_GB2312;仿宋"/>
          <w:b w:val="false"/>
          <w:bCs w:val="false"/>
          <w:spacing w:val="8"/>
          <w:sz w:val="32"/>
          <w:szCs w:val="32"/>
          <w:shd w:fill="FFFFFF" w:val="clear"/>
        </w:rPr>
        <w:t>对构成严重失信的，应当依法予以联合惩戒。</w:t>
      </w:r>
      <w:r>
        <w:rPr>
          <w:rFonts w:ascii="仿宋_GB2312;仿宋" w:hAnsi="仿宋_GB2312;仿宋" w:cs="仿宋_GB2312;仿宋" w:hint="eastAsia" w:eastAsia="仿宋_GB2312;仿宋"/>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仿宋_GB2312;仿宋" w:hint="eastAsia"/>
          <w:b w:val="false"/>
          <w:bCs w:val="false"/>
          <w:sz w:val="32"/>
          <w:szCs w:val="32"/>
        </w:rPr>
      </w:pPr>
      <w:r>
        <w:rPr>
          <w:rStyle w:val="Strong"/>
          <w:rFonts w:ascii="黑体" w:hAnsi="黑体" w:cs="黑体" w:hint="eastAsia" w:eastAsia="黑体"/>
          <w:b w:val="false"/>
          <w:bCs w:val="false"/>
          <w:spacing w:val="8"/>
          <w:sz w:val="32"/>
          <w:szCs w:val="32"/>
          <w:shd w:fill="FFFFFF" w:val="clear"/>
        </w:rPr>
        <w:t xml:space="preserve">第六条  </w:t>
      </w:r>
      <w:r>
        <w:rPr>
          <w:rStyle w:val="Strong"/>
          <w:rFonts w:ascii="仿宋_GB2312;仿宋" w:hAnsi="仿宋_GB2312;仿宋" w:cs="仿宋_GB2312;仿宋" w:hint="eastAsia" w:eastAsia="仿宋_GB2312;仿宋"/>
          <w:b w:val="false"/>
          <w:bCs w:val="false"/>
          <w:spacing w:val="8"/>
          <w:sz w:val="32"/>
          <w:szCs w:val="32"/>
          <w:shd w:fill="FFFFFF" w:val="clear"/>
        </w:rPr>
        <w:t>市和区、县（市）财政部门应当加强政府投资市政工程项目财政资金预算的监督管理，严格预算约束。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黑体" w:hAnsi="黑体" w:cs="黑体" w:hint="eastAsia" w:eastAsia="黑体"/>
          <w:b w:val="false"/>
          <w:bCs w:val="false"/>
          <w:i w:val="false"/>
          <w:caps w:val="false"/>
          <w:smallCaps w:val="false"/>
          <w:color w:val="000000"/>
          <w:spacing w:val="0"/>
          <w:w w:val="100"/>
          <w:kern w:val="0"/>
          <w:sz w:val="32"/>
          <w:szCs w:val="32"/>
          <w:lang w:eastAsia="zh-CN"/>
        </w:rPr>
        <w:t>第</w:t>
      </w:r>
      <w:r>
        <w:rPr>
          <w:rFonts w:ascii="黑体" w:hAnsi="黑体" w:cs="黑体" w:hint="eastAsia" w:eastAsia="黑体"/>
          <w:b w:val="false"/>
          <w:bCs w:val="false"/>
          <w:i w:val="false"/>
          <w:caps w:val="false"/>
          <w:smallCaps w:val="false"/>
          <w:color w:val="000000"/>
          <w:spacing w:val="0"/>
          <w:w w:val="100"/>
          <w:kern w:val="0"/>
          <w:sz w:val="32"/>
          <w:szCs w:val="32"/>
        </w:rPr>
        <w:t>七</w:t>
      </w:r>
      <w:r>
        <w:rPr>
          <w:rFonts w:ascii="黑体" w:hAnsi="黑体" w:cs="黑体" w:hint="eastAsia" w:eastAsia="黑体"/>
          <w:b w:val="false"/>
          <w:bCs w:val="false"/>
          <w:i w:val="false"/>
          <w:caps w:val="false"/>
          <w:smallCaps w:val="false"/>
          <w:color w:val="000000"/>
          <w:spacing w:val="0"/>
          <w:w w:val="100"/>
          <w:kern w:val="0"/>
          <w:sz w:val="32"/>
          <w:szCs w:val="32"/>
          <w:lang w:eastAsia="zh-CN"/>
        </w:rPr>
        <w:t>条</w:t>
      </w:r>
      <w:r>
        <w:rPr>
          <w:rFonts w:ascii="黑体" w:hAnsi="黑体" w:cs="黑体" w:hint="eastAsia" w:eastAsia="黑体"/>
          <w:b w:val="false"/>
          <w:bCs w:val="false"/>
          <w:i w:val="false"/>
          <w:caps w:val="false"/>
          <w:smallCaps w:val="false"/>
          <w:color w:val="000000"/>
          <w:spacing w:val="0"/>
          <w:w w:val="100"/>
          <w:kern w:val="0"/>
          <w:sz w:val="32"/>
          <w:szCs w:val="32"/>
        </w:rPr>
        <w:t xml:space="preserve"> </w:t>
      </w:r>
      <w:r>
        <w:rPr>
          <w:rFonts w:ascii="仿宋" w:hAnsi="仿宋" w:cs="仿宋" w:hint="eastAsia" w:eastAsia="仿宋"/>
          <w:b w:val="false"/>
          <w:bCs w:val="false"/>
          <w:i w:val="false"/>
          <w:caps w:val="false"/>
          <w:smallCaps w:val="false"/>
          <w:color w:val="000000"/>
          <w:spacing w:val="0"/>
          <w:w w:val="100"/>
          <w:kern w:val="0"/>
          <w:sz w:val="32"/>
          <w:szCs w:val="32"/>
          <w:lang w:eastAsia="zh-CN"/>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建设单位是</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工程质量第一责任人，依法对市政工程质量承担全面责任，组织开工建设，履行建设程序，协调市政工程建设各阶段的质量管理工作。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建设单位应当根据项目情况和自身管理能力等，合理选择市政工程建设组织实施方式。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sz w:val="32"/>
          <w:szCs w:val="32"/>
        </w:rPr>
        <w:t>第八条</w:t>
      </w:r>
      <w:r>
        <w:rPr>
          <w:rFonts w:ascii="仿宋_GB2312;仿宋" w:hAnsi="仿宋_GB2312;仿宋" w:cs="仿宋_GB2312;仿宋" w:hint="eastAsia" w:eastAsia="仿宋_GB2312;仿宋"/>
          <w:b w:val="false"/>
          <w:bCs w:val="false"/>
          <w:sz w:val="32"/>
          <w:szCs w:val="32"/>
        </w:rPr>
        <w:t>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在开工前，</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应当依法申请领取施工许可证或者申请批准开工报告，并按照国家有关规定办理工程质量监督手续，工程质量监督手续可以与施工许可证或者开工报告合并办理。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建设单位不得将应当申请领取施工许可证的</w:t>
      </w:r>
      <w:r>
        <w:rPr>
          <w:rFonts w:ascii="仿宋_GB2312;仿宋" w:hAnsi="仿宋_GB2312;仿宋" w:cs="仿宋_GB2312;仿宋" w:hint="eastAsia" w:eastAsia="仿宋_GB2312;仿宋"/>
          <w:b w:val="false"/>
          <w:bCs w:val="false"/>
          <w:sz w:val="32"/>
          <w:szCs w:val="32"/>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工程项目分解为若干限额以下的</w:t>
      </w:r>
      <w:r>
        <w:rPr>
          <w:rFonts w:ascii="仿宋_GB2312;仿宋" w:hAnsi="仿宋_GB2312;仿宋" w:cs="仿宋_GB2312;仿宋" w:hint="eastAsia" w:eastAsia="仿宋_GB2312;仿宋"/>
          <w:b w:val="false"/>
          <w:bCs w:val="false"/>
          <w:sz w:val="32"/>
          <w:szCs w:val="32"/>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工程项目，规避申请领取施工许可证。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九</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建设单位应当按照市政工程定额</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以</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及</w:t>
      </w:r>
      <w:r>
        <w:rPr>
          <w:rFonts w:ascii="仿宋_GB2312;仿宋" w:hAnsi="仿宋_GB2312;仿宋" w:cs="仿宋_GB2312;仿宋" w:hint="eastAsia" w:eastAsia="仿宋_GB2312;仿宋"/>
          <w:b w:val="false"/>
          <w:bCs w:val="false"/>
          <w:sz w:val="32"/>
          <w:szCs w:val="32"/>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工程建设前期可能涉及的房屋征收、管线排迁、道路挖掘等调整因素确定</w:t>
      </w:r>
      <w:r>
        <w:rPr>
          <w:rFonts w:ascii="仿宋_GB2312;仿宋" w:hAnsi="仿宋_GB2312;仿宋" w:cs="仿宋_GB2312;仿宋" w:hint="eastAsia" w:eastAsia="仿宋_GB2312;仿宋"/>
          <w:b w:val="false"/>
          <w:bCs w:val="false"/>
          <w:sz w:val="32"/>
          <w:szCs w:val="32"/>
        </w:rPr>
        <w:t>建设</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工期</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，不得任意压缩合理建设工期。确需</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压缩</w:t>
      </w:r>
      <w:r>
        <w:rPr>
          <w:rFonts w:ascii="仿宋_GB2312;仿宋" w:hAnsi="仿宋_GB2312;仿宋" w:cs="仿宋_GB2312;仿宋" w:hint="eastAsia" w:eastAsia="仿宋_GB2312;仿宋"/>
          <w:b w:val="false"/>
          <w:bCs w:val="false"/>
          <w:sz w:val="32"/>
          <w:szCs w:val="32"/>
        </w:rPr>
        <w:t>建设</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工期且具备可行性的，建设单位应当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采取</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保证市政工程质量和安全的技术措施及方案。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仿宋" w:hAnsi="仿宋_GB2312;仿宋" w:eastAsia="仿宋_GB2312;仿宋" w:cs="仿宋_GB2312;仿宋" w:hint="eastAsia"/>
          <w:b w:val="false"/>
          <w:bCs w:val="false"/>
          <w:color w:val="000000"/>
          <w:kern w:val="0"/>
          <w:sz w:val="32"/>
          <w:szCs w:val="32"/>
          <w:highlight w:val="none"/>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建设单位应当按照造价管理规定、计价依据和</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工程造价信息</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合理确定工程建设造价，</w:t>
      </w:r>
      <w:r>
        <w:rPr>
          <w:rFonts w:ascii="仿宋_GB2312;仿宋" w:hAnsi="仿宋_GB2312;仿宋" w:cs="仿宋_GB2312;仿宋" w:hint="eastAsia" w:eastAsia="仿宋_GB2312;仿宋"/>
          <w:b w:val="false"/>
          <w:bCs w:val="false"/>
          <w:color w:val="000000"/>
          <w:kern w:val="0"/>
          <w:sz w:val="32"/>
          <w:szCs w:val="32"/>
        </w:rPr>
        <w:t>不得</w:t>
      </w:r>
      <w:r>
        <w:rPr>
          <w:rFonts w:ascii="仿宋_GB2312;仿宋" w:hAnsi="仿宋_GB2312;仿宋" w:cs="仿宋_GB2312;仿宋" w:hint="eastAsia" w:eastAsia="仿宋_GB2312;仿宋"/>
          <w:b w:val="false"/>
          <w:bCs w:val="false"/>
          <w:color w:val="000000"/>
          <w:kern w:val="0"/>
          <w:sz w:val="32"/>
          <w:szCs w:val="32"/>
          <w:lang w:eastAsia="zh-CN"/>
        </w:rPr>
        <w:t>迫使</w:t>
      </w:r>
      <w:r>
        <w:rPr>
          <w:rFonts w:ascii="仿宋_GB2312;仿宋" w:hAnsi="仿宋_GB2312;仿宋" w:cs="仿宋_GB2312;仿宋" w:hint="eastAsia" w:eastAsia="仿宋_GB2312;仿宋"/>
          <w:b w:val="false"/>
          <w:bCs w:val="false"/>
          <w:color w:val="000000"/>
          <w:kern w:val="0"/>
          <w:sz w:val="32"/>
          <w:szCs w:val="32"/>
        </w:rPr>
        <w:t>承包方以低于成本的价格竞标。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黑体" w:hAnsi="黑体" w:eastAsia="黑体" w:cs="黑体" w:hint="eastAsia"/>
          <w:b w:val="false"/>
          <w:bCs w:val="false"/>
          <w:sz w:val="32"/>
          <w:szCs w:val="32"/>
        </w:rPr>
      </w:pPr>
      <w:r>
        <w:rPr>
          <w:rFonts w:ascii="仿宋_GB2312;仿宋" w:hAnsi="仿宋_GB2312;仿宋" w:cs="仿宋_GB2312;仿宋" w:hint="eastAsia" w:eastAsia="仿宋_GB2312;仿宋"/>
          <w:b w:val="false"/>
          <w:bCs w:val="false"/>
          <w:sz w:val="32"/>
          <w:szCs w:val="32"/>
        </w:rPr>
        <w:t>建设单位应当按照合同约定，及时拨付工程款项。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黑体" w:hAnsi="黑体" w:eastAsia="黑体" w:cs="黑体"/>
          <w:b w:val="false"/>
          <w:bCs w:val="false"/>
          <w:sz w:val="32"/>
          <w:szCs w:val="32"/>
        </w:rPr>
      </w:pPr>
      <w:r>
        <w:rPr>
          <w:rFonts w:ascii="黑体" w:hAnsi="黑体" w:cs="黑体" w:hint="eastAsia" w:eastAsia="黑体"/>
          <w:b w:val="false"/>
          <w:bCs w:val="false"/>
          <w:spacing w:val="8"/>
          <w:sz w:val="32"/>
          <w:szCs w:val="32"/>
          <w:shd w:fill="FFFFFF" w:val="clear"/>
        </w:rPr>
        <w:t xml:space="preserve">第十条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建设单位应当建立</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工程信息现场公示制度，在开工前对</w:t>
      </w:r>
      <w:r>
        <w:rPr>
          <w:rFonts w:ascii="仿宋_GB2312;仿宋" w:hAnsi="仿宋_GB2312;仿宋" w:cs="仿宋_GB2312;仿宋" w:hint="eastAsia" w:eastAsia="仿宋_GB2312;仿宋"/>
          <w:b w:val="false"/>
          <w:bCs w:val="false"/>
          <w:spacing w:val="8"/>
          <w:sz w:val="32"/>
          <w:szCs w:val="32"/>
          <w:shd w:fill="FFFFFF" w:val="clear"/>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工程建设各阶段的主要信息进行现场公示，</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公开社会监督方式，</w:t>
      </w:r>
      <w:r>
        <w:rPr>
          <w:rFonts w:ascii="仿宋_GB2312;仿宋" w:hAnsi="仿宋_GB2312;仿宋" w:cs="仿宋_GB2312;仿宋" w:hint="eastAsia" w:eastAsia="仿宋_GB2312;仿宋"/>
          <w:b w:val="false"/>
          <w:bCs w:val="false"/>
          <w:spacing w:val="8"/>
          <w:sz w:val="32"/>
          <w:szCs w:val="32"/>
          <w:shd w:fill="FFFFFF" w:val="clear"/>
        </w:rPr>
        <w:t>接受社会公众</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对</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市政工程质量</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监督</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i w:val="false"/>
          <w:caps w:val="false"/>
          <w:smallCaps w:val="false"/>
          <w:color w:val="000000"/>
          <w:spacing w:val="0"/>
          <w:w w:val="100"/>
          <w:kern w:val="0"/>
          <w:sz w:val="32"/>
          <w:szCs w:val="32"/>
        </w:rPr>
        <w:t xml:space="preserve">第十一条 </w:t>
      </w:r>
      <w:r>
        <w:rPr>
          <w:rFonts w:ascii="仿宋" w:hAnsi="仿宋" w:cs="仿宋" w:hint="eastAsia" w:eastAsia="仿宋"/>
          <w:b w:val="false"/>
          <w:bCs w:val="false"/>
          <w:i w:val="false"/>
          <w:caps w:val="false"/>
          <w:smallCaps w:val="false"/>
          <w:color w:val="000000"/>
          <w:spacing w:val="0"/>
          <w:w w:val="100"/>
          <w:kern w:val="0"/>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建设单位应当委托具有相应资质的检测单位开展市政工程质量检测活动。委托方与被委托方应当签订书面合同。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仿宋" w:hAnsi="仿宋_GB2312;仿宋" w:eastAsia="仿宋_GB2312;仿宋" w:cs="仿宋_GB2312;仿宋" w:hint="eastAsia"/>
          <w:b w:val="false"/>
          <w:bCs w:val="false"/>
          <w:kern w:val="2"/>
          <w:sz w:val="32"/>
          <w:szCs w:val="32"/>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非建设单位委托的检测单位出具的检测报告不得作为市政工程质量验收依据。</w:t>
      </w:r>
      <w:r>
        <w:rPr>
          <w:rFonts w:ascii="黑体" w:hAnsi="黑体" w:cs="黑体" w:hint="eastAsia" w:eastAsia="黑体"/>
          <w:b w:val="false"/>
          <w:bCs w:val="false"/>
          <w:spacing w:val="8"/>
          <w:sz w:val="32"/>
          <w:szCs w:val="32"/>
          <w:shd w:fill="FFFFFF" w:val="clear"/>
        </w:rPr>
        <w:t xml:space="preserve"> </w:t>
      </w:r>
      <w:r>
        <w:rPr>
          <w:rFonts w:ascii="仿宋_GB2312;仿宋" w:hAnsi="仿宋_GB2312;仿宋" w:cs="仿宋_GB2312;仿宋" w:hint="eastAsia" w:eastAsia="仿宋_GB2312;仿宋"/>
          <w:b w:val="false"/>
          <w:bCs w:val="false"/>
          <w:sz w:val="32"/>
          <w:szCs w:val="32"/>
          <w:lang w:eastAsia="zh-CN"/>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十二</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建设单位应当将施工图设计文件（含勘察文件）报送施工图审查机构审查。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施工图设计文件未经审查批准的，不得使用。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 w:hAnsi="仿宋" w:eastAsia="仿宋" w:cs="仿宋" w:hint="eastAsia"/>
          <w:b w:val="false"/>
          <w:bCs w:val="false"/>
          <w:i w:val="false"/>
          <w:caps w:val="false"/>
          <w:smallCaps w:val="false"/>
          <w:color w:val="000000"/>
          <w:spacing w:val="0"/>
          <w:w w:val="100"/>
          <w:kern w:val="0"/>
          <w:sz w:val="32"/>
          <w:szCs w:val="32"/>
          <w:highlight w:val="none"/>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施工图设计文件中涉及工程建设强制性标准、主体结构安全等内容发生变更的，建设单位应当将变更后的施工图设计文件报送原</w:t>
      </w:r>
      <w:r>
        <w:rPr>
          <w:rFonts w:ascii="仿宋_GB2312;仿宋" w:hAnsi="仿宋_GB2312;仿宋" w:cs="仿宋_GB2312;仿宋" w:hint="eastAsia" w:eastAsia="仿宋_GB2312;仿宋"/>
          <w:b w:val="false"/>
          <w:bCs w:val="false"/>
          <w:sz w:val="32"/>
          <w:szCs w:val="32"/>
        </w:rPr>
        <w:t>施工图</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审查机构审查。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黑体" w:hAnsi="黑体" w:cs="黑体" w:hint="eastAsia" w:eastAsia="黑体"/>
          <w:b w:val="false"/>
          <w:bCs w:val="false"/>
          <w:sz w:val="32"/>
          <w:szCs w:val="32"/>
        </w:rPr>
        <w:t>第十三条</w:t>
      </w:r>
      <w:r>
        <w:rPr>
          <w:rFonts w:ascii="仿宋_GB2312;仿宋" w:hAnsi="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勘察单位应当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依</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照有关市政工程质量法律法规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工程建设强制性标准和勘察合同进行勘察</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勘察文件应当符合国家规定的勘察深度要求</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，必须真实、准确</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设计单位应当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依</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照有关市政工程质量法律法规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工程建设强制性标准进行设计；设计文件应当满足本市城市功能和提升城市品质的要求，并符合本市季节性特点。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黑体" w:hAnsi="黑体" w:cs="黑体" w:hint="eastAsia" w:eastAsia="黑体"/>
          <w:b w:val="false"/>
          <w:bCs w:val="false"/>
          <w:sz w:val="32"/>
          <w:szCs w:val="32"/>
          <w:lang w:eastAsia="zh-CN"/>
        </w:rPr>
        <w:t>第十</w:t>
      </w:r>
      <w:r>
        <w:rPr>
          <w:rFonts w:ascii="黑体" w:hAnsi="黑体" w:cs="黑体" w:hint="eastAsia" w:eastAsia="黑体"/>
          <w:b w:val="false"/>
          <w:bCs w:val="false"/>
          <w:sz w:val="32"/>
          <w:szCs w:val="32"/>
        </w:rPr>
        <w:t>四</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施工单位对市政工程施工质量负责，应当建立健全</w:t>
      </w:r>
      <w:r>
        <w:rPr>
          <w:rFonts w:ascii="仿宋_GB2312;仿宋" w:hAnsi="仿宋_GB2312;仿宋" w:cs="仿宋_GB2312;仿宋" w:hint="eastAsia" w:eastAsia="仿宋_GB2312;仿宋"/>
          <w:b w:val="false"/>
          <w:bCs w:val="false"/>
          <w:sz w:val="32"/>
          <w:szCs w:val="32"/>
        </w:rPr>
        <w:t>市政工程</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质量管理制度和质量保证体系。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施工单位应当制定施工方案、编制检测计划。施工方案和检测计划应当经监理单位审查后实施。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施工</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人员</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应当在建设单位或者监理单位监督下对涉及结构安全的试块、试件以及有关材料进行现场取样</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val="zh-CN"/>
        </w:rPr>
        <w:t>并送具有相应资质等级的工程质量检测单位进行检测</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。建设单位或者监理单位应当对取样过程</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留存影像资料。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i w:val="false"/>
          <w:caps w:val="false"/>
          <w:smallCaps w:val="false"/>
          <w:color w:val="000000"/>
          <w:spacing w:val="0"/>
          <w:w w:val="100"/>
          <w:kern w:val="0"/>
          <w:sz w:val="32"/>
          <w:szCs w:val="32"/>
        </w:rPr>
        <w:t>第</w:t>
      </w:r>
      <w:r>
        <w:rPr>
          <w:rFonts w:ascii="黑体" w:hAnsi="黑体" w:cs="黑体" w:hint="eastAsia" w:eastAsia="黑体"/>
          <w:b w:val="false"/>
          <w:bCs w:val="false"/>
          <w:i w:val="false"/>
          <w:caps w:val="false"/>
          <w:smallCaps w:val="false"/>
          <w:color w:val="000000"/>
          <w:spacing w:val="0"/>
          <w:w w:val="100"/>
          <w:kern w:val="0"/>
          <w:sz w:val="32"/>
          <w:szCs w:val="32"/>
          <w:lang w:eastAsia="zh-CN"/>
        </w:rPr>
        <w:t>十</w:t>
      </w:r>
      <w:r>
        <w:rPr>
          <w:rFonts w:ascii="黑体" w:hAnsi="黑体" w:cs="黑体" w:hint="eastAsia" w:eastAsia="黑体"/>
          <w:b w:val="false"/>
          <w:bCs w:val="false"/>
          <w:i w:val="false"/>
          <w:caps w:val="false"/>
          <w:smallCaps w:val="false"/>
          <w:color w:val="000000"/>
          <w:spacing w:val="0"/>
          <w:w w:val="100"/>
          <w:kern w:val="0"/>
          <w:sz w:val="32"/>
          <w:szCs w:val="32"/>
        </w:rPr>
        <w:t xml:space="preserve">五条 </w:t>
      </w:r>
      <w:r>
        <w:rPr>
          <w:rFonts w:ascii="仿宋" w:hAnsi="仿宋" w:cs="仿宋" w:hint="eastAsia" w:eastAsia="仿宋"/>
          <w:b w:val="false"/>
          <w:bCs w:val="false"/>
          <w:i w:val="false"/>
          <w:caps w:val="false"/>
          <w:smallCaps w:val="false"/>
          <w:color w:val="000000"/>
          <w:spacing w:val="0"/>
          <w:w w:val="100"/>
          <w:kern w:val="0"/>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监理单位对市政工程质量承担监理责任，应当按照国家有关规定在市政工程开工前编制监理规划和监理实施细则，并实施监理。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监理单位</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应当</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要求施工单位限期将检验不合格的材料、构配件、设备撤出施工现场。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sz w:val="32"/>
          <w:szCs w:val="32"/>
        </w:rPr>
        <w:t xml:space="preserve">第十六条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工程质量检测单位应当按照相关技术标准编制现场取样检测方案，</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并</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实施检测，</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对其出具的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检测数据和检测报告的真实性和准确性负责。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b w:val="false"/>
          <w:bCs w:val="false"/>
          <w:sz w:val="32"/>
          <w:szCs w:val="32"/>
        </w:rPr>
      </w:pPr>
      <w:r>
        <w:rPr>
          <w:rFonts w:ascii="仿宋_GB2312;仿宋" w:hAnsi="仿宋_GB2312;仿宋" w:cs="仿宋_GB2312;仿宋" w:hint="eastAsia" w:eastAsia="仿宋_GB2312;仿宋"/>
          <w:b w:val="false"/>
          <w:bCs w:val="false"/>
          <w:sz w:val="32"/>
          <w:szCs w:val="32"/>
        </w:rPr>
        <w:t>工程质量</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检测单位应当将检测过程中发现的建设、施工、监理单位违反有关法律、法规和工程建设强制性标准以及涉及结构安全检测结果的不合格情况，及时报告</w:t>
      </w:r>
      <w:r>
        <w:rPr>
          <w:rFonts w:ascii="仿宋_GB2312;仿宋" w:hAnsi="仿宋_GB2312;仿宋" w:cs="仿宋_GB2312;仿宋" w:hint="eastAsia" w:eastAsia="仿宋_GB2312;仿宋"/>
          <w:b w:val="false"/>
          <w:bCs w:val="false"/>
          <w:sz w:val="32"/>
          <w:szCs w:val="32"/>
        </w:rPr>
        <w:t>市或者区、县（市）</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建设主管部门。</w:t>
      </w:r>
      <w:r>
        <w:rPr>
          <w:rFonts w:ascii="黑体" w:hAnsi="黑体" w:cs="黑体" w:hint="eastAsia" w:eastAsia="黑体"/>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黑体" w:hAnsi="黑体" w:cs="黑体" w:hint="eastAsia" w:eastAsia="黑体"/>
          <w:b w:val="false"/>
          <w:bCs w:val="false"/>
          <w:sz w:val="32"/>
          <w:szCs w:val="32"/>
          <w:lang w:eastAsia="zh-CN"/>
        </w:rPr>
        <w:t>第十</w:t>
      </w:r>
      <w:r>
        <w:rPr>
          <w:rFonts w:ascii="黑体" w:hAnsi="黑体" w:cs="黑体" w:hint="eastAsia" w:eastAsia="黑体"/>
          <w:b w:val="false"/>
          <w:bCs w:val="false"/>
          <w:sz w:val="32"/>
          <w:szCs w:val="32"/>
        </w:rPr>
        <w:t>七</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建筑材料、建筑构配件生产和供应单位对其生产和供应的建筑材料、建筑构配件的质量负责。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预拌混凝土及其制品生产单位应当按照要求向使用单位提供预拌产品出厂合格证</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u w:val="none"/>
          <w:lang w:eastAsia="zh-CN"/>
        </w:rPr>
        <w:t>不得向使用单位提供非现场取样的混凝土试块等检测材料</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b w:val="false"/>
          <w:bCs w:val="false"/>
          <w:i w:val="false"/>
          <w:caps w:val="false"/>
          <w:smallCaps w:val="false"/>
          <w:color w:val="000000"/>
          <w:spacing w:val="0"/>
          <w:w w:val="100"/>
          <w:sz w:val="32"/>
          <w:szCs w:val="32"/>
        </w:rPr>
        <w:t xml:space="preserve">第十八条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市政工程发生质量事故</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建设、施工</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监理等单位</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应当在</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二十四</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小时内向</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事故发生地</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建设主管部门和其他有关部门报告，并采取措施防止事故扩大，配合有关部门做好事故调查处理工作。</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val="zh-CN" w:eastAsia="zh-CN"/>
        </w:rPr>
        <w:t>对重大质量事故，事故发生地的建设主管部门和其他有关部门应当按照事故类别和等级向当地人民政府、上级建设主管部门和其他有关部门报告。</w:t>
      </w:r>
      <w:r>
        <w:rPr>
          <w:rFonts w:ascii="仿宋" w:hAnsi="仿宋" w:cs="仿宋" w:hint="eastAsia" w:eastAsia="仿宋"/>
          <w:b w:val="false"/>
          <w:bCs w:val="false"/>
          <w:i w:val="false"/>
          <w:caps w:val="false"/>
          <w:smallCaps w:val="false"/>
          <w:color w:val="000000"/>
          <w:spacing w:val="0"/>
          <w:w w:val="1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val="zh-CN"/>
        </w:rPr>
      </w:pPr>
      <w:r>
        <w:rPr>
          <w:rFonts w:ascii="黑体" w:hAnsi="黑体" w:cs="黑体" w:hint="eastAsia" w:eastAsia="黑体"/>
          <w:b w:val="false"/>
          <w:bCs w:val="false"/>
          <w:i w:val="false"/>
          <w:caps w:val="false"/>
          <w:smallCaps w:val="false"/>
          <w:color w:val="000000"/>
          <w:spacing w:val="0"/>
          <w:w w:val="100"/>
          <w:sz w:val="32"/>
          <w:szCs w:val="32"/>
        </w:rPr>
        <w:t xml:space="preserve">第十九条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val="zh-CN"/>
        </w:rPr>
        <w:t>从事市政工程活动的注册执业人员，应当在执业资格证书许可范围内从事工程活动，并对所签署文件的真实性和准确性负责。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val="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val="zh-CN"/>
        </w:rPr>
        <w:t>从事市政工程活动的其他专业技术人员和管理人员，应当</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按照国家、省和市有关规定</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val="zh-CN"/>
        </w:rPr>
        <w:t>取得相应的岗位证书。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黑体" w:hAnsi="黑体" w:cs="黑体" w:hint="eastAsia" w:eastAsia="黑体"/>
          <w:b w:val="false"/>
          <w:bCs w:val="false"/>
          <w:i w:val="false"/>
          <w:caps w:val="false"/>
          <w:smallCaps w:val="false"/>
          <w:color w:val="000000"/>
          <w:spacing w:val="0"/>
          <w:w w:val="100"/>
          <w:sz w:val="32"/>
          <w:szCs w:val="32"/>
        </w:rPr>
        <w:t>第二十条</w:t>
      </w:r>
      <w:r>
        <w:rPr>
          <w:rFonts w:ascii="仿宋" w:hAnsi="仿宋" w:cs="仿宋" w:hint="eastAsia" w:eastAsia="仿宋"/>
          <w:b w:val="false"/>
          <w:bCs w:val="false"/>
          <w:i w:val="false"/>
          <w:caps w:val="false"/>
          <w:smallCaps w:val="false"/>
          <w:color w:val="000000"/>
          <w:spacing w:val="0"/>
          <w:w w:val="100"/>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建设单位应当在竣工验收七个工作日前将验收的时间、地点</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以</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及验收组名单书面通知负责监督该</w:t>
      </w:r>
      <w:r>
        <w:rPr>
          <w:rFonts w:ascii="仿宋_GB2312;仿宋" w:hAnsi="仿宋_GB2312;仿宋" w:cs="仿宋_GB2312;仿宋" w:hint="eastAsia" w:eastAsia="仿宋_GB2312;仿宋"/>
          <w:b w:val="false"/>
          <w:bCs w:val="false"/>
          <w:sz w:val="32"/>
          <w:szCs w:val="32"/>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工程的工程质量监督机构。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 w:hAnsi="仿宋" w:eastAsia="仿宋" w:cs="仿宋" w:hint="eastAsia"/>
          <w:b w:val="false"/>
          <w:bCs w:val="false"/>
          <w:i w:val="false"/>
          <w:caps w:val="false"/>
          <w:smallCaps w:val="false"/>
          <w:color w:val="000000"/>
          <w:spacing w:val="0"/>
          <w:w w:val="100"/>
          <w:kern w:val="2"/>
          <w:sz w:val="32"/>
          <w:szCs w:val="32"/>
          <w:highlight w:val="none"/>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建设单位应当组织勘察、设计、施工、监理</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等有关</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单位进行</w:t>
      </w:r>
      <w:r>
        <w:rPr>
          <w:rFonts w:ascii="仿宋_GB2312;仿宋" w:hAnsi="仿宋_GB2312;仿宋" w:cs="仿宋_GB2312;仿宋" w:hint="eastAsia" w:eastAsia="仿宋_GB2312;仿宋"/>
          <w:b w:val="false"/>
          <w:bCs w:val="false"/>
          <w:sz w:val="32"/>
          <w:szCs w:val="32"/>
        </w:rPr>
        <w:t>市政</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工程竣工验收。</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b w:val="false"/>
          <w:bCs w:val="false"/>
          <w:i w:val="false"/>
          <w:caps w:val="false"/>
          <w:smallCaps w:val="false"/>
          <w:color w:val="000000"/>
          <w:spacing w:val="0"/>
          <w:w w:val="100"/>
          <w:sz w:val="32"/>
          <w:szCs w:val="32"/>
        </w:rPr>
        <w:t xml:space="preserve">第二十一条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市政工程实行质量保修制度，</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最低保修期限按照国家有关规定执行</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rPr>
          <w:rFonts w:ascii="黑体" w:hAnsi="黑体" w:eastAsia="黑体" w:cs="黑体" w:hint="eastAsia"/>
          <w:b w:val="false"/>
          <w:bCs w:val="false"/>
          <w:kern w:val="0"/>
          <w:sz w:val="32"/>
          <w:szCs w:val="32"/>
        </w:rPr>
      </w:pPr>
      <w:r>
        <w:rPr>
          <w:rFonts w:ascii="黑体" w:hAnsi="黑体" w:cs="黑体" w:hint="eastAsia" w:eastAsia="黑体"/>
          <w:b w:val="false"/>
          <w:bCs w:val="false"/>
          <w:sz w:val="32"/>
          <w:szCs w:val="32"/>
        </w:rPr>
        <w:t xml:space="preserve">第二十二条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市政工程在保修范围和保修期限内发生质量问题的，施工单位应当履行保修义务，并对造成的损失承担赔偿责任。</w:t>
      </w:r>
      <w:r>
        <w:rPr>
          <w:rFonts w:ascii="仿宋_GB2312;仿宋" w:hAnsi="仿宋_GB2312;仿宋" w:cs="仿宋_GB2312;仿宋" w:hint="eastAsia" w:eastAsia="仿宋_GB2312;仿宋"/>
          <w:b w:val="false"/>
          <w:bCs w:val="false"/>
          <w:sz w:val="32"/>
          <w:szCs w:val="32"/>
        </w:rPr>
        <w:t>　</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rPr>
          <w:rFonts w:ascii="仿宋_GB2312;仿宋" w:hAnsi="仿宋_GB2312;仿宋" w:eastAsia="仿宋_GB2312;仿宋" w:cs="仿宋_GB2312;仿宋" w:hint="eastAsia"/>
          <w:b w:val="false"/>
          <w:bCs w:val="false"/>
          <w:color w:val="000000"/>
          <w:sz w:val="32"/>
          <w:szCs w:val="32"/>
          <w:highlight w:val="none"/>
        </w:rPr>
      </w:pPr>
      <w:r>
        <w:rPr>
          <w:rFonts w:ascii="黑体" w:hAnsi="黑体" w:cs="黑体" w:hint="eastAsia" w:eastAsia="黑体"/>
          <w:b w:val="false"/>
          <w:bCs w:val="false"/>
          <w:sz w:val="32"/>
          <w:szCs w:val="32"/>
          <w:lang w:eastAsia="zh-CN"/>
        </w:rPr>
        <w:t>第二十</w:t>
      </w:r>
      <w:r>
        <w:rPr>
          <w:rFonts w:ascii="黑体" w:hAnsi="黑体" w:cs="黑体" w:hint="eastAsia" w:eastAsia="黑体"/>
          <w:b w:val="false"/>
          <w:bCs w:val="false"/>
          <w:sz w:val="32"/>
          <w:szCs w:val="32"/>
        </w:rPr>
        <w:t>三</w:t>
      </w:r>
      <w:r>
        <w:rPr>
          <w:rFonts w:ascii="黑体" w:hAnsi="黑体" w:cs="黑体" w:hint="eastAsia" w:eastAsia="黑体"/>
          <w:b w:val="false"/>
          <w:bCs w:val="false"/>
          <w:sz w:val="32"/>
          <w:szCs w:val="32"/>
          <w:lang w:eastAsia="zh-CN"/>
        </w:rPr>
        <w:t>条</w:t>
      </w:r>
      <w:r>
        <w:rPr>
          <w:rFonts w:ascii="黑体" w:hAnsi="黑体" w:cs="黑体" w:eastAsia="黑体"/>
          <w:b w:val="false"/>
          <w:bCs w:val="false"/>
          <w:sz w:val="32"/>
          <w:szCs w:val="32"/>
          <w:lang w:eastAsia="zh-CN"/>
        </w:rPr>
        <w:t xml:space="preserve"> </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b w:val="false"/>
          <w:bCs w:val="false"/>
          <w:color w:val="000000"/>
          <w:sz w:val="32"/>
          <w:szCs w:val="32"/>
        </w:rPr>
        <w:t>任何单位和个人对</w:t>
      </w:r>
      <w:r>
        <w:rPr>
          <w:rFonts w:ascii="仿宋_GB2312;仿宋" w:hAnsi="仿宋_GB2312;仿宋" w:cs="仿宋_GB2312;仿宋" w:hint="eastAsia" w:eastAsia="仿宋_GB2312;仿宋"/>
          <w:b w:val="false"/>
          <w:bCs w:val="false"/>
          <w:color w:val="000000"/>
          <w:sz w:val="32"/>
          <w:szCs w:val="32"/>
          <w:lang w:eastAsia="zh-CN"/>
        </w:rPr>
        <w:t>市政</w:t>
      </w:r>
      <w:r>
        <w:rPr>
          <w:rFonts w:ascii="仿宋_GB2312;仿宋" w:hAnsi="仿宋_GB2312;仿宋" w:cs="仿宋_GB2312;仿宋" w:hint="eastAsia" w:eastAsia="仿宋_GB2312;仿宋"/>
          <w:b w:val="false"/>
          <w:bCs w:val="false"/>
          <w:color w:val="000000"/>
          <w:sz w:val="32"/>
          <w:szCs w:val="32"/>
        </w:rPr>
        <w:t>工程的质量事故、质量缺陷都有权向市或者区、县（市）建设主管部门或者其他有关部门进行检举、控告、投诉。</w:t>
      </w:r>
    </w:p>
    <w:p>
      <w:pPr>
        <w:pStyle w:val="Style16"/>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rPr>
          <w:rFonts w:ascii="黑体" w:hAnsi="黑体" w:eastAsia="黑体" w:cs="黑体" w:hint="eastAsia"/>
          <w:b w:val="false"/>
          <w:bCs w:val="false"/>
          <w:color w:val="000000"/>
          <w:sz w:val="32"/>
          <w:szCs w:val="32"/>
          <w:highlight w:val="none"/>
        </w:rPr>
      </w:pPr>
      <w:r>
        <w:rPr>
          <w:rFonts w:ascii="黑体" w:hAnsi="黑体" w:cs="黑体" w:hint="eastAsia" w:eastAsia="黑体"/>
          <w:b w:val="false"/>
          <w:bCs w:val="false"/>
          <w:color w:val="000000"/>
          <w:sz w:val="32"/>
          <w:szCs w:val="32"/>
        </w:rPr>
        <w:t xml:space="preserve">第二十四条  </w:t>
      </w:r>
      <w:r>
        <w:rPr>
          <w:rFonts w:ascii="仿宋_GB2312;仿宋" w:hAnsi="仿宋_GB2312;仿宋" w:cs="仿宋_GB2312;仿宋" w:hint="eastAsia" w:eastAsia="仿宋_GB2312;仿宋"/>
          <w:b w:val="false"/>
          <w:bCs w:val="false"/>
          <w:color w:val="000000"/>
          <w:sz w:val="32"/>
          <w:szCs w:val="32"/>
        </w:rPr>
        <w:t>市和区、县（市）建设主管部门以及其他有关部门</w:t>
      </w:r>
      <w:r>
        <w:rPr>
          <w:rFonts w:ascii="仿宋_GB2312;仿宋" w:hAnsi="仿宋_GB2312;仿宋" w:cs="仿宋_GB2312;仿宋" w:hint="eastAsia" w:eastAsia="仿宋_GB2312;仿宋"/>
          <w:b w:val="false"/>
          <w:bCs w:val="false"/>
          <w:color w:val="000000"/>
          <w:sz w:val="32"/>
          <w:szCs w:val="32"/>
          <w:lang w:eastAsia="zh-CN"/>
        </w:rPr>
        <w:t>应当</w:t>
      </w:r>
      <w:r>
        <w:rPr>
          <w:rFonts w:ascii="仿宋_GB2312;仿宋" w:hAnsi="仿宋_GB2312;仿宋" w:cs="仿宋_GB2312;仿宋" w:hint="eastAsia" w:eastAsia="仿宋_GB2312;仿宋"/>
          <w:b w:val="false"/>
          <w:bCs w:val="false"/>
          <w:color w:val="000000"/>
          <w:sz w:val="32"/>
          <w:szCs w:val="32"/>
        </w:rPr>
        <w:t>完善</w:t>
      </w:r>
      <w:r>
        <w:rPr>
          <w:rFonts w:ascii="仿宋_GB2312;仿宋" w:hAnsi="仿宋_GB2312;仿宋" w:cs="仿宋_GB2312;仿宋" w:hint="eastAsia" w:eastAsia="仿宋_GB2312;仿宋"/>
          <w:b w:val="false"/>
          <w:bCs w:val="false"/>
          <w:color w:val="000000"/>
          <w:sz w:val="32"/>
          <w:szCs w:val="32"/>
          <w:lang w:eastAsia="zh-CN"/>
        </w:rPr>
        <w:t>市政</w:t>
      </w:r>
      <w:r>
        <w:rPr>
          <w:rFonts w:ascii="仿宋_GB2312;仿宋" w:hAnsi="仿宋_GB2312;仿宋" w:cs="仿宋_GB2312;仿宋" w:hint="eastAsia" w:eastAsia="仿宋_GB2312;仿宋"/>
          <w:b w:val="false"/>
          <w:bCs w:val="false"/>
          <w:color w:val="000000"/>
          <w:sz w:val="32"/>
          <w:szCs w:val="32"/>
        </w:rPr>
        <w:t>工程质量投诉和纠纷协调处理机制，明确市政工程质量投诉处理主体、受理范围、处理流程和办结时限等事项，定期向社会通报</w:t>
      </w:r>
      <w:r>
        <w:rPr>
          <w:rFonts w:ascii="仿宋_GB2312;仿宋" w:hAnsi="仿宋_GB2312;仿宋" w:cs="仿宋_GB2312;仿宋" w:hint="eastAsia" w:eastAsia="仿宋_GB2312;仿宋"/>
          <w:b w:val="false"/>
          <w:bCs w:val="false"/>
          <w:color w:val="000000"/>
          <w:sz w:val="32"/>
          <w:szCs w:val="32"/>
          <w:lang w:eastAsia="zh-CN"/>
        </w:rPr>
        <w:t>市政</w:t>
      </w:r>
      <w:r>
        <w:rPr>
          <w:rFonts w:ascii="仿宋_GB2312;仿宋" w:hAnsi="仿宋_GB2312;仿宋" w:cs="仿宋_GB2312;仿宋" w:hint="eastAsia" w:eastAsia="仿宋_GB2312;仿宋"/>
          <w:b w:val="false"/>
          <w:bCs w:val="false"/>
          <w:color w:val="000000"/>
          <w:sz w:val="32"/>
          <w:szCs w:val="32"/>
        </w:rPr>
        <w:t>工程质量投诉处理情况。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i w:val="false"/>
          <w:caps w:val="false"/>
          <w:smallCaps w:val="false"/>
          <w:color w:val="000000"/>
          <w:spacing w:val="0"/>
          <w:w w:val="100"/>
          <w:sz w:val="32"/>
          <w:szCs w:val="32"/>
        </w:rPr>
        <w:t xml:space="preserve">第二十五条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违反本条例</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第八条、第九条、第十二条</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规定，建设单位有下列行为之一的，由</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市或者区、县（市）</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建设主管部门责令改正，处二十万元以上五十万元以下的罚款：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一</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）未按照国家规定办理工程质量监督手续的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二</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）任意压缩合理</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建设</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工期的；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lang w:eastAsia="zh-CN"/>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三</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）迫使</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承包方</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以低于成本的价格竞标的；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四</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w:t>
      </w:r>
      <w:r>
        <w:rPr>
          <w:rFonts w:ascii="仿宋_GB2312;仿宋" w:hAnsi="仿宋_GB2312;仿宋" w:cs="仿宋_GB2312;仿宋" w:hint="eastAsia" w:eastAsia="仿宋_GB2312;仿宋"/>
          <w:b w:val="false"/>
          <w:bCs w:val="false"/>
          <w:i w:val="false"/>
          <w:caps w:val="false"/>
          <w:smallCaps w:val="false"/>
          <w:color w:val="000000"/>
          <w:spacing w:val="-6"/>
          <w:w w:val="100"/>
          <w:kern w:val="0"/>
          <w:sz w:val="32"/>
          <w:szCs w:val="32"/>
          <w:lang w:eastAsia="zh-CN"/>
        </w:rPr>
        <w:t>施工图设计文件未经审查或者审查不合格，擅自施工的。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仿宋" w:hAnsi="仿宋_GB2312;仿宋" w:eastAsia="仿宋_GB2312;仿宋" w:cs="仿宋_GB2312;仿宋" w:hint="eastAsia"/>
          <w:b w:val="false"/>
          <w:bCs w:val="false"/>
          <w:kern w:val="2"/>
          <w:sz w:val="32"/>
          <w:szCs w:val="32"/>
        </w:rPr>
      </w:pPr>
      <w:r>
        <w:rPr>
          <w:rFonts w:ascii="黑体" w:hAnsi="黑体" w:cs="黑体" w:hint="eastAsia" w:eastAsia="黑体"/>
          <w:b w:val="false"/>
          <w:bCs w:val="false"/>
          <w:i w:val="false"/>
          <w:caps w:val="false"/>
          <w:smallCaps w:val="false"/>
          <w:color w:val="000000"/>
          <w:spacing w:val="0"/>
          <w:w w:val="100"/>
          <w:sz w:val="32"/>
          <w:szCs w:val="32"/>
        </w:rPr>
        <w:t xml:space="preserve">第二十六条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lang w:eastAsia="zh-CN"/>
        </w:rPr>
        <w:t>市政工程质量监督管理人员滥用职权、玩忽职守、徇私舞弊的，由其所在单位或者上级主管部门给予行政处分；构成犯罪的，由司法机关依法追究刑事责任。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黑体" w:hAnsi="黑体" w:eastAsia="黑体" w:cs="黑体" w:hint="eastAsia"/>
          <w:b w:val="false"/>
          <w:bCs w:val="false"/>
          <w:sz w:val="32"/>
          <w:szCs w:val="32"/>
          <w:shd w:fill="FFFFFF" w:val="clear"/>
        </w:rPr>
      </w:pPr>
      <w:r>
        <w:rPr>
          <w:rFonts w:ascii="黑体" w:hAnsi="黑体" w:cs="黑体" w:hint="eastAsia" w:eastAsia="黑体"/>
          <w:b w:val="false"/>
          <w:bCs w:val="false"/>
          <w:i w:val="false"/>
          <w:caps w:val="false"/>
          <w:smallCaps w:val="false"/>
          <w:color w:val="000000"/>
          <w:spacing w:val="0"/>
          <w:w w:val="100"/>
          <w:sz w:val="32"/>
          <w:szCs w:val="32"/>
        </w:rPr>
        <w:t>第二十七条</w:t>
      </w:r>
      <w:r>
        <w:rPr>
          <w:rFonts w:ascii="仿宋" w:hAnsi="仿宋" w:cs="仿宋" w:hint="eastAsia" w:eastAsia="仿宋"/>
          <w:b w:val="false"/>
          <w:bCs w:val="false"/>
          <w:i w:val="false"/>
          <w:caps w:val="false"/>
          <w:smallCaps w:val="false"/>
          <w:color w:val="000000"/>
          <w:spacing w:val="0"/>
          <w:w w:val="100"/>
          <w:sz w:val="32"/>
          <w:szCs w:val="32"/>
        </w:rPr>
        <w:t xml:space="preserve">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市政</w:t>
      </w:r>
      <w:r>
        <w:rPr>
          <w:rFonts w:ascii="仿宋_GB2312;仿宋" w:hAnsi="仿宋_GB2312;仿宋" w:cs="仿宋_GB2312;仿宋" w:hint="eastAsia" w:eastAsia="仿宋_GB2312;仿宋"/>
          <w:b w:val="false"/>
          <w:bCs w:val="false"/>
          <w:i w:val="false"/>
          <w:caps w:val="false"/>
          <w:smallCaps w:val="false"/>
          <w:color w:val="000000"/>
          <w:spacing w:val="0"/>
          <w:w w:val="100"/>
          <w:sz w:val="32"/>
          <w:szCs w:val="32"/>
        </w:rPr>
        <w:t>工程的</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维护、养护等质量管理工作依照有关法律、法规的规定执行。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ascii="黑体" w:hAnsi="黑体" w:cs="黑体" w:hint="eastAsia" w:eastAsia="黑体"/>
          <w:b w:val="false"/>
          <w:bCs w:val="false"/>
          <w:i w:val="false"/>
          <w:caps w:val="false"/>
          <w:smallCaps w:val="false"/>
          <w:color w:val="000000"/>
          <w:spacing w:val="0"/>
          <w:w w:val="100"/>
          <w:sz w:val="32"/>
          <w:szCs w:val="32"/>
        </w:rPr>
        <w:t xml:space="preserve">第二十八条   </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本条例自</w:t>
      </w:r>
      <w:r>
        <w:rPr>
          <w:rFonts w:eastAsia="仿宋_GB2312;仿宋" w:cs="仿宋_GB2312;仿宋" w:hint="eastAsia" w:ascii="仿宋_GB2312;仿宋" w:hAnsi="仿宋_GB2312;仿宋"/>
          <w:b w:val="false"/>
          <w:bCs w:val="false"/>
          <w:i w:val="false"/>
          <w:caps w:val="false"/>
          <w:smallCaps w:val="false"/>
          <w:color w:val="000000"/>
          <w:spacing w:val="0"/>
          <w:w w:val="100"/>
          <w:kern w:val="0"/>
          <w:sz w:val="32"/>
          <w:szCs w:val="32"/>
        </w:rPr>
        <w:t>2023</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年</w:t>
      </w:r>
      <w:r>
        <w:rPr>
          <w:rFonts w:eastAsia="仿宋_GB2312;仿宋" w:cs="仿宋_GB2312;仿宋" w:hint="eastAsia" w:ascii="仿宋_GB2312;仿宋" w:hAnsi="仿宋_GB2312;仿宋"/>
          <w:b w:val="false"/>
          <w:bCs w:val="false"/>
          <w:i w:val="false"/>
          <w:caps w:val="false"/>
          <w:smallCaps w:val="false"/>
          <w:color w:val="000000"/>
          <w:spacing w:val="0"/>
          <w:w w:val="100"/>
          <w:kern w:val="0"/>
          <w:sz w:val="32"/>
          <w:szCs w:val="32"/>
        </w:rPr>
        <w:t>6</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月</w:t>
      </w:r>
      <w:r>
        <w:rPr>
          <w:rFonts w:eastAsia="仿宋_GB2312;仿宋" w:cs="仿宋_GB2312;仿宋" w:hint="eastAsia" w:ascii="仿宋_GB2312;仿宋" w:hAnsi="仿宋_GB2312;仿宋"/>
          <w:b w:val="false"/>
          <w:bCs w:val="false"/>
          <w:i w:val="false"/>
          <w:caps w:val="false"/>
          <w:smallCaps w:val="false"/>
          <w:color w:val="000000"/>
          <w:spacing w:val="0"/>
          <w:w w:val="100"/>
          <w:kern w:val="0"/>
          <w:sz w:val="32"/>
          <w:szCs w:val="32"/>
        </w:rPr>
        <w:t>1</w:t>
      </w:r>
      <w:r>
        <w:rPr>
          <w:rFonts w:ascii="仿宋_GB2312;仿宋" w:hAnsi="仿宋_GB2312;仿宋" w:cs="仿宋_GB2312;仿宋" w:hint="eastAsia" w:eastAsia="仿宋_GB2312;仿宋"/>
          <w:b w:val="false"/>
          <w:bCs w:val="false"/>
          <w:i w:val="false"/>
          <w:caps w:val="false"/>
          <w:smallCaps w:val="false"/>
          <w:color w:val="000000"/>
          <w:spacing w:val="0"/>
          <w:w w:val="100"/>
          <w:kern w:val="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eastAsia="仿宋_GB2312;仿宋" w:cs="仿宋_GB2312;仿宋" w:hint="eastAsia"/>
          <w:b w:val="false"/>
          <w:bCs w:val="false"/>
          <w:i w:val="false"/>
          <w:caps w:val="false"/>
          <w:smallCaps w:val="false"/>
          <w:color w:val="000000"/>
          <w:spacing w:val="0"/>
          <w:w w:val="100"/>
          <w:kern w:val="0"/>
          <w:sz w:val="32"/>
          <w:szCs w:val="32"/>
          <w:highlight w:val="none"/>
        </w:rPr>
      </w:pPr>
      <w:r>
        <w:rPr>
          <w:rFonts w:eastAsia="仿宋_GB2312;仿宋" w:cs="仿宋_GB2312;仿宋" w:hint="eastAsia" w:ascii="仿宋_GB2312;仿宋" w:hAnsi="仿宋_GB2312;仿宋"/>
          <w:b w:val="false"/>
          <w:bCs w:val="false"/>
          <w:i w:val="false"/>
          <w:caps w:val="false"/>
          <w:smallCaps w:val="false"/>
          <w:color w:val="000000"/>
          <w:spacing w:val="0"/>
          <w:w w:val="100"/>
          <w:kern w:val="0"/>
          <w:sz w:val="32"/>
          <w:szCs w:val="32"/>
        </w:rPr>
      </w:r>
    </w:p>
    <w:sectPr>
      <w:headerReference w:type="default" r:id="rId2"/>
      <w:footerReference w:type="default" r:id="rId3"/>
      <w:type w:val="nextPage"/>
      <w:pgSz w:w="11906" w:h="16838"/>
      <w:pgMar w:left="1587" w:right="1417" w:gutter="0" w:header="851" w:top="2041" w:footer="1474"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0" w:characterSet="windows-1252"/>
    <w:family w:val="roman"/>
    <w:pitch w:val="default"/>
  </w:font>
  <w:font w:name="Liberation Sans">
    <w:altName w:val="Arial"/>
    <w:charset w:val="01" w:characterSet="utf-8"/>
    <w:family w:val="swiss"/>
    <w:pitch w:val="variable"/>
  </w:font>
  <w:font w:name="Cambria">
    <w:charset w:val="00" w:characterSet="windows-1252"/>
    <w:family w:val="roman"/>
    <w:pitch w:val="default"/>
  </w:font>
  <w:font w:name="仿宋_GB2312">
    <w:altName w:val="仿宋"/>
    <w:charset w:val="86"/>
    <w:family w:val="auto"/>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76960" cy="303530"/>
              <wp:effectExtent l="0" t="0" r="0" b="0"/>
              <wp:wrapNone/>
              <wp:docPr id="1" name="Frame1"/>
              <a:graphic xmlns:a="http://schemas.openxmlformats.org/drawingml/2006/main">
                <a:graphicData uri="http://schemas.microsoft.com/office/word/2010/wordprocessingShape">
                  <wps:wsp>
                    <wps:cNvSpPr txBox="1"/>
                    <wps:spPr>
                      <a:xfrm>
                        <a:off x="0" y="0"/>
                        <a:ext cx="1076960" cy="303530"/>
                      </a:xfrm>
                      <a:prstGeom prst="rect"/>
                      <a:solidFill>
                        <a:srgbClr val="FFFFFF">
                          <a:alpha val="0"/>
                        </a:srgbClr>
                      </a:solidFill>
                    </wps:spPr>
                    <wps:txbx>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hint="eastAsia"/>
                              <w:sz w:val="28"/>
                              <w:szCs w:val="28"/>
                            </w:rPr>
                            <w:t>—</w:t>
                          </w:r>
                        </w:p>
                      </w:txbxContent>
                    </wps:txbx>
                    <wps:bodyPr anchor="t" lIns="635" tIns="635" rIns="635" bIns="635">
                      <a:spAutoFit/>
                    </wps:bodyPr>
                  </wps:wsp>
                </a:graphicData>
              </a:graphic>
            </wp:anchor>
          </w:drawing>
        </mc:Choice>
        <mc:Fallback>
          <w:pict>
            <v:rect fillcolor="#FFFFFF" style="position:absolute;rotation:-0;width:84.8pt;height:23.9pt;mso-wrap-distance-left:9.05pt;mso-wrap-distance-right:0pt;mso-wrap-distance-top:0pt;mso-wrap-distance-bottom:0pt;margin-top:0pt;mso-position-vertical-relative:text;margin-left:360.3pt;mso-position-horizontal:outside;mso-position-horizontal-relative:margin">
              <v:fill opacity="0f"/>
              <v:textbox inset="0.000694444444444445in,0.000694444444444445in,0.000694444444444445in,0.000694444444444445in">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hint="eastAsia"/>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Emphasis">
    <w:name w:val="Emphasis"/>
    <w:basedOn w:val="Style14"/>
    <w:qFormat/>
    <w:rPr>
      <w:rFonts w:ascii="Times New Roman" w:hAnsi="Times New Roman" w:eastAsia="宋体" w:cs="Times New Roman"/>
      <w: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题注"/>
    <w:basedOn w:val="Normal"/>
    <w:next w:val="Normal"/>
    <w:qFormat/>
    <w:pPr/>
    <w:rPr>
      <w:rFonts w:ascii="Cambria" w:hAnsi="Cambria" w:eastAsia="黑体" w:cs="Times New Roman"/>
      <w:sz w:val="20"/>
    </w:rPr>
  </w:style>
  <w:style w:type="paragraph" w:styleId="2">
    <w:name w:val="正文文本缩进 2"/>
    <w:basedOn w:val="Normal"/>
    <w:qFormat/>
    <w:pPr>
      <w:ind w:firstLineChars="200" w:startChars="0" w:start="0" w:endChars="0" w:end="0"/>
    </w:pPr>
    <w:rPr>
      <w:rFonts w:ascii="仿宋_GB2312;仿宋" w:hAnsi="仿宋_GB2312;仿宋"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widowControl/>
      <w:spacing w:before="100" w:after="100"/>
      <w:jc w:val="start"/>
    </w:pPr>
    <w:rPr>
      <w:rFonts w:ascii="宋体" w:hAnsi="宋体" w:cs="宋体"/>
      <w:kern w:val="0"/>
      <w:sz w:val="24"/>
      <w:szCs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2021-06-09T09:42:51Z</dcterms:created>
  <dc:creator>丁浩</dc:creator>
  <dc:description/>
  <dc:language>en-US</dc:language>
  <cp:lastModifiedBy>諳語</cp:lastModifiedBy>
  <dcterms:modified xsi:type="dcterms:W3CDTF">2023-05-12T17:09:28Z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4EAB79CD437945ADBC79E3DD85AE30C6_12</vt:lpwstr>
  </property>
  <property fmtid="{D5CDD505-2E9C-101B-9397-08002B2CF9AE}" pid="3" name="KSOProductBuildVer">
    <vt:lpwstr>2052-11.1.0.14309</vt:lpwstr>
  </property>
</Properties>
</file>