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oter1.xml" ContentType="application/vnd.openxmlformats-officedocument.wordprocessingml.footer+xml"/>
  <Override PartName="/word/styles.xml" ContentType="application/vnd.openxmlformats-officedocument.wordprocessingml.styles+xml"/>
  <Override PartName="/word/fontTable.xml" ContentType="application/vnd.openxmlformats-officedocument.wordprocessingml.fontTabl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keepNext w:val="false"/>
        <w:keepLines w:val="false"/>
        <w:pageBreakBefore w:val="false"/>
        <w:widowControl w:val="false"/>
        <w:kinsoku w:val="true"/>
        <w:overflowPunct w:val="true"/>
        <w:autoSpaceDE w:val="true"/>
        <w:bidi w:val="0"/>
        <w:snapToGrid w:val="true"/>
        <w:spacing w:lineRule="exact" w:line="560"/>
        <w:jc w:val="center"/>
        <w:textAlignment w:val="auto"/>
        <w:rPr>
          <w:rFonts w:ascii="宋体" w:hAnsi="宋体" w:eastAsia="宋体" w:cs="宋体" w:hint="eastAsia"/>
          <w:b/>
          <w:sz w:val="32"/>
          <w:szCs w:val="32"/>
        </w:rPr>
      </w:pPr>
      <w:r>
        <w:rPr>
          <w:rFonts w:eastAsia="宋体" w:cs="宋体" w:hint="eastAsia" w:ascii="宋体" w:hAnsi="宋体"/>
          <w:b/>
          <w:sz w:val="32"/>
          <w:szCs w:val="32"/>
        </w:rPr>
      </w:r>
    </w:p>
    <w:p>
      <w:pPr>
        <w:pStyle w:val="Normal"/>
        <w:keepNext w:val="false"/>
        <w:keepLines w:val="false"/>
        <w:pageBreakBefore w:val="false"/>
        <w:widowControl w:val="false"/>
        <w:kinsoku w:val="true"/>
        <w:overflowPunct w:val="true"/>
        <w:autoSpaceDE w:val="true"/>
        <w:bidi w:val="0"/>
        <w:snapToGrid w:val="true"/>
        <w:spacing w:lineRule="exact" w:line="560"/>
        <w:jc w:val="center"/>
        <w:textAlignment w:val="auto"/>
        <w:rPr>
          <w:rFonts w:ascii="宋体" w:hAnsi="宋体" w:eastAsia="宋体" w:cs="宋体" w:hint="eastAsia"/>
          <w:b/>
          <w:sz w:val="32"/>
          <w:szCs w:val="32"/>
        </w:rPr>
      </w:pPr>
      <w:r>
        <w:rPr>
          <w:rFonts w:eastAsia="宋体" w:cs="宋体" w:hint="eastAsia" w:ascii="宋体" w:hAnsi="宋体"/>
          <w:b/>
          <w:sz w:val="32"/>
          <w:szCs w:val="32"/>
        </w:rPr>
      </w:r>
    </w:p>
    <w:p>
      <w:pPr>
        <w:pStyle w:val="Normal"/>
        <w:keepNext w:val="false"/>
        <w:keepLines w:val="false"/>
        <w:pageBreakBefore w:val="false"/>
        <w:widowControl w:val="false"/>
        <w:kinsoku w:val="true"/>
        <w:overflowPunct w:val="true"/>
        <w:autoSpaceDE w:val="true"/>
        <w:bidi w:val="0"/>
        <w:snapToGrid w:val="true"/>
        <w:spacing w:lineRule="exact" w:line="560"/>
        <w:jc w:val="center"/>
        <w:textAlignment w:val="auto"/>
        <w:rPr>
          <w:rFonts w:ascii="宋体" w:hAnsi="宋体" w:eastAsia="宋体" w:cs="宋体" w:hint="eastAsia"/>
          <w:b/>
          <w:sz w:val="44"/>
          <w:szCs w:val="44"/>
        </w:rPr>
      </w:pPr>
      <w:r>
        <w:rPr>
          <w:rFonts w:ascii="宋体" w:hAnsi="宋体" w:cs="宋体" w:hint="eastAsia"/>
          <w:b/>
          <w:sz w:val="44"/>
          <w:szCs w:val="44"/>
        </w:rPr>
        <w:t>丹东市人民代表大会常务委员会</w:t>
      </w:r>
    </w:p>
    <w:p>
      <w:pPr>
        <w:pStyle w:val="Normal"/>
        <w:keepNext w:val="false"/>
        <w:keepLines w:val="false"/>
        <w:pageBreakBefore w:val="false"/>
        <w:widowControl w:val="false"/>
        <w:kinsoku w:val="true"/>
        <w:overflowPunct w:val="true"/>
        <w:autoSpaceDE w:val="true"/>
        <w:bidi w:val="0"/>
        <w:snapToGrid w:val="true"/>
        <w:spacing w:lineRule="exact" w:line="560"/>
        <w:jc w:val="center"/>
        <w:textAlignment w:val="auto"/>
        <w:rPr>
          <w:rFonts w:ascii="宋体" w:hAnsi="宋体" w:eastAsia="宋体" w:cs="宋体" w:hint="eastAsia"/>
          <w:b/>
          <w:sz w:val="44"/>
          <w:szCs w:val="44"/>
        </w:rPr>
      </w:pPr>
      <w:r>
        <w:rPr>
          <w:rFonts w:ascii="宋体" w:hAnsi="宋体" w:cs="宋体" w:hint="eastAsia"/>
          <w:b/>
          <w:sz w:val="44"/>
          <w:szCs w:val="44"/>
        </w:rPr>
        <w:t>关于修改《丹东市城乡规划条例》的决定</w:t>
      </w:r>
    </w:p>
    <w:p>
      <w:pPr>
        <w:pStyle w:val="Normal"/>
        <w:keepNext w:val="false"/>
        <w:keepLines w:val="false"/>
        <w:pageBreakBefore w:val="false"/>
        <w:widowControl w:val="false"/>
        <w:kinsoku w:val="true"/>
        <w:overflowPunct w:val="true"/>
        <w:autoSpaceDE w:val="true"/>
        <w:bidi w:val="0"/>
        <w:snapToGrid w:val="true"/>
        <w:spacing w:lineRule="exact" w:line="560"/>
        <w:jc w:val="center"/>
        <w:textAlignment w:val="auto"/>
        <w:rPr>
          <w:rFonts w:ascii="宋体" w:hAnsi="宋体" w:eastAsia="宋体" w:cs="宋体" w:hint="eastAsia"/>
          <w:b/>
          <w:sz w:val="44"/>
          <w:szCs w:val="44"/>
        </w:rPr>
      </w:pPr>
      <w:r>
        <w:rPr>
          <w:rFonts w:eastAsia="宋体" w:cs="宋体" w:hint="eastAsia" w:ascii="宋体" w:hAnsi="宋体"/>
          <w:b/>
          <w:sz w:val="44"/>
          <w:szCs w:val="44"/>
        </w:rPr>
      </w:r>
    </w:p>
    <w:p>
      <w:pPr>
        <w:pStyle w:val="Normal"/>
        <w:keepNext w:val="false"/>
        <w:keepLines w:val="false"/>
        <w:pageBreakBefore w:val="false"/>
        <w:widowControl w:val="false"/>
        <w:kinsoku w:val="true"/>
        <w:overflowPunct w:val="true"/>
        <w:autoSpaceDE w:val="true"/>
        <w:bidi w:val="0"/>
        <w:snapToGrid w:val="true"/>
        <w:spacing w:lineRule="exact" w:line="560"/>
        <w:jc w:val="both"/>
        <w:textAlignment w:val="auto"/>
        <w:rPr>
          <w:rFonts w:ascii="楷体_GB2312;楷体" w:hAnsi="楷体_GB2312;楷体" w:eastAsia="楷体_GB2312;楷体" w:cs="楷体_GB2312;楷体" w:hint="eastAsia"/>
          <w:sz w:val="32"/>
          <w:szCs w:val="32"/>
        </w:rPr>
      </w:pPr>
      <w:r>
        <w:rPr>
          <w:rFonts w:ascii="楷体_GB2312;楷体" w:hAnsi="楷体_GB2312;楷体" w:cs="楷体_GB2312;楷体" w:hint="eastAsia" w:eastAsia="楷体_GB2312;楷体"/>
          <w:sz w:val="32"/>
          <w:szCs w:val="32"/>
        </w:rPr>
        <w:t>（</w:t>
      </w:r>
      <w:r>
        <w:rPr>
          <w:rFonts w:eastAsia="楷体_GB2312;楷体" w:cs="楷体_GB2312;楷体" w:hint="eastAsia" w:ascii="楷体_GB2312;楷体" w:hAnsi="楷体_GB2312;楷体"/>
          <w:sz w:val="32"/>
          <w:szCs w:val="32"/>
        </w:rPr>
        <w:t>2021</w:t>
      </w:r>
      <w:r>
        <w:rPr>
          <w:rFonts w:ascii="楷体_GB2312;楷体" w:hAnsi="楷体_GB2312;楷体" w:cs="楷体_GB2312;楷体" w:hint="eastAsia" w:eastAsia="楷体_GB2312;楷体"/>
          <w:sz w:val="32"/>
          <w:szCs w:val="32"/>
        </w:rPr>
        <w:t>年</w:t>
      </w:r>
      <w:r>
        <w:rPr>
          <w:rFonts w:eastAsia="楷体_GB2312;楷体" w:cs="楷体_GB2312;楷体" w:hint="eastAsia" w:ascii="楷体_GB2312;楷体" w:hAnsi="楷体_GB2312;楷体"/>
          <w:sz w:val="32"/>
          <w:szCs w:val="32"/>
        </w:rPr>
        <w:t>12</w:t>
      </w:r>
      <w:r>
        <w:rPr>
          <w:rFonts w:ascii="楷体_GB2312;楷体" w:hAnsi="楷体_GB2312;楷体" w:cs="楷体_GB2312;楷体" w:hint="eastAsia" w:eastAsia="楷体_GB2312;楷体"/>
          <w:sz w:val="32"/>
          <w:szCs w:val="32"/>
        </w:rPr>
        <w:t>月</w:t>
      </w:r>
      <w:r>
        <w:rPr>
          <w:rFonts w:eastAsia="楷体_GB2312;楷体" w:cs="楷体_GB2312;楷体" w:hint="eastAsia" w:ascii="楷体_GB2312;楷体" w:hAnsi="楷体_GB2312;楷体"/>
          <w:sz w:val="32"/>
          <w:szCs w:val="32"/>
        </w:rPr>
        <w:t>23</w:t>
      </w:r>
      <w:r>
        <w:rPr>
          <w:rFonts w:ascii="楷体_GB2312;楷体" w:hAnsi="楷体_GB2312;楷体" w:cs="楷体_GB2312;楷体" w:hint="eastAsia" w:eastAsia="楷体_GB2312;楷体"/>
          <w:sz w:val="32"/>
          <w:szCs w:val="32"/>
        </w:rPr>
        <w:t xml:space="preserve">日丹东市第十六届人民代表大会常务委员会第三十八次会议通过  </w:t>
      </w:r>
      <w:r>
        <w:rPr>
          <w:rFonts w:eastAsia="楷体_GB2312;楷体" w:cs="楷体_GB2312;楷体" w:hint="eastAsia" w:ascii="楷体_GB2312;楷体" w:hAnsi="楷体_GB2312;楷体"/>
          <w:sz w:val="32"/>
          <w:szCs w:val="32"/>
        </w:rPr>
        <w:t>2022</w:t>
      </w:r>
      <w:r>
        <w:rPr>
          <w:rFonts w:ascii="楷体_GB2312;楷体" w:hAnsi="楷体_GB2312;楷体" w:cs="楷体_GB2312;楷体" w:hint="eastAsia" w:eastAsia="楷体_GB2312;楷体"/>
          <w:sz w:val="32"/>
          <w:szCs w:val="32"/>
        </w:rPr>
        <w:t>年</w:t>
      </w:r>
      <w:r>
        <w:rPr>
          <w:rFonts w:eastAsia="楷体_GB2312;楷体" w:cs="楷体_GB2312;楷体" w:hint="eastAsia" w:ascii="楷体_GB2312;楷体" w:hAnsi="楷体_GB2312;楷体"/>
          <w:sz w:val="32"/>
          <w:szCs w:val="32"/>
        </w:rPr>
        <w:t>4</w:t>
      </w:r>
      <w:r>
        <w:rPr>
          <w:rFonts w:ascii="楷体_GB2312;楷体" w:hAnsi="楷体_GB2312;楷体" w:cs="楷体_GB2312;楷体" w:hint="eastAsia" w:eastAsia="楷体_GB2312;楷体"/>
          <w:sz w:val="32"/>
          <w:szCs w:val="32"/>
        </w:rPr>
        <w:t>月</w:t>
      </w:r>
      <w:r>
        <w:rPr>
          <w:rFonts w:eastAsia="楷体_GB2312;楷体" w:cs="楷体_GB2312;楷体" w:hint="eastAsia" w:ascii="楷体_GB2312;楷体" w:hAnsi="楷体_GB2312;楷体"/>
          <w:sz w:val="32"/>
          <w:szCs w:val="32"/>
        </w:rPr>
        <w:t>21</w:t>
      </w:r>
      <w:r>
        <w:rPr>
          <w:rFonts w:ascii="楷体_GB2312;楷体" w:hAnsi="楷体_GB2312;楷体" w:cs="楷体_GB2312;楷体" w:hint="eastAsia" w:eastAsia="楷体_GB2312;楷体"/>
          <w:sz w:val="32"/>
          <w:szCs w:val="32"/>
        </w:rPr>
        <w:t>日辽宁省第十三届人民代表大会常务委员会第三十二次会议批准）</w:t>
      </w:r>
    </w:p>
    <w:p>
      <w:pPr>
        <w:pStyle w:val="Normal"/>
        <w:keepNext w:val="false"/>
        <w:keepLines w:val="false"/>
        <w:pageBreakBefore w:val="false"/>
        <w:widowControl w:val="false"/>
        <w:kinsoku w:val="true"/>
        <w:overflowPunct w:val="true"/>
        <w:autoSpaceDE w:val="true"/>
        <w:bidi w:val="0"/>
        <w:snapToGrid w:val="true"/>
        <w:spacing w:lineRule="exact" w:line="560"/>
        <w:jc w:val="both"/>
        <w:textAlignment w:val="auto"/>
        <w:rPr>
          <w:rFonts w:ascii="楷体_GB2312;楷体" w:hAnsi="楷体_GB2312;楷体" w:eastAsia="楷体_GB2312;楷体" w:cs="楷体_GB2312;楷体" w:hint="eastAsia"/>
          <w:sz w:val="32"/>
          <w:szCs w:val="32"/>
        </w:rPr>
      </w:pPr>
      <w:r>
        <w:rPr>
          <w:rFonts w:eastAsia="楷体_GB2312;楷体" w:cs="楷体_GB2312;楷体" w:hint="eastAsia" w:ascii="楷体_GB2312;楷体" w:hAnsi="楷体_GB2312;楷体"/>
          <w:sz w:val="32"/>
          <w:szCs w:val="32"/>
        </w:rPr>
      </w:r>
    </w:p>
    <w:p>
      <w:pPr>
        <w:pStyle w:val="Normal"/>
        <w:keepNext w:val="false"/>
        <w:keepLines w:val="false"/>
        <w:pageBreakBefore w:val="false"/>
        <w:widowControl w:val="false"/>
        <w:kinsoku w:val="true"/>
        <w:overflowPunct w:val="true"/>
        <w:bidi w:val="0"/>
        <w:snapToGrid w:val="true"/>
        <w:spacing w:lineRule="exact" w:line="560"/>
        <w:ind w:firstLineChars="200" w:startChars="0" w:start="0" w:endChars="0" w:end="0"/>
        <w:jc w:val="both"/>
        <w:textAlignment w:val="auto"/>
        <w:rPr>
          <w:rFonts w:ascii="仿宋_GB2312;仿宋" w:hAnsi="仿宋_GB2312;仿宋" w:eastAsia="仿宋_GB2312;仿宋" w:cs="仿宋_GB2312;仿宋" w:hint="eastAsia"/>
          <w:sz w:val="32"/>
          <w:szCs w:val="32"/>
        </w:rPr>
      </w:pPr>
      <w:r>
        <w:rPr>
          <w:rFonts w:ascii="仿宋_GB2312;仿宋" w:hAnsi="仿宋_GB2312;仿宋" w:cs="仿宋_GB2312;仿宋" w:hint="eastAsia" w:eastAsia="仿宋_GB2312;仿宋"/>
          <w:sz w:val="32"/>
          <w:szCs w:val="32"/>
        </w:rPr>
        <w:t>丹东市第十六届人民代表大会常务委员会第三十八次会议决定对《丹东市城乡规划条例》作如下修改：</w:t>
      </w:r>
    </w:p>
    <w:p>
      <w:pPr>
        <w:pStyle w:val="Normal"/>
        <w:keepNext w:val="false"/>
        <w:keepLines w:val="false"/>
        <w:pageBreakBefore w:val="false"/>
        <w:widowControl/>
        <w:kinsoku w:val="true"/>
        <w:overflowPunct w:val="true"/>
        <w:autoSpaceDE w:val="true"/>
        <w:bidi w:val="0"/>
        <w:snapToGrid w:val="true"/>
        <w:spacing w:lineRule="exact" w:line="560"/>
        <w:ind w:firstLineChars="200" w:startChars="0" w:start="0" w:endChars="0" w:end="0"/>
        <w:jc w:val="both"/>
        <w:textAlignment w:val="auto"/>
        <w:rPr>
          <w:rFonts w:ascii="仿宋_GB2312;仿宋" w:hAnsi="仿宋_GB2312;仿宋" w:eastAsia="仿宋_GB2312;仿宋" w:cs="仿宋_GB2312;仿宋" w:hint="eastAsia"/>
          <w:bCs/>
          <w:sz w:val="32"/>
          <w:szCs w:val="32"/>
        </w:rPr>
      </w:pPr>
      <w:r>
        <w:rPr>
          <w:rFonts w:ascii="仿宋_GB2312;仿宋" w:hAnsi="仿宋_GB2312;仿宋" w:cs="仿宋_GB2312;仿宋" w:hint="eastAsia" w:eastAsia="仿宋_GB2312;仿宋"/>
          <w:sz w:val="32"/>
          <w:szCs w:val="32"/>
        </w:rPr>
        <w:t>一、删除第二十七条第三款，将</w:t>
      </w:r>
      <w:r>
        <w:rPr>
          <w:rFonts w:ascii="仿宋_GB2312;仿宋" w:hAnsi="仿宋_GB2312;仿宋" w:cs="仿宋_GB2312;仿宋" w:hint="eastAsia" w:eastAsia="仿宋_GB2312;仿宋"/>
          <w:bCs/>
          <w:sz w:val="32"/>
          <w:szCs w:val="32"/>
        </w:rPr>
        <w:t>第二十七条修改为：“在城市、镇规划区内的建设项目，应当按建设工程规划许可证要求，履行建设项目放线、验线程序：</w:t>
      </w:r>
    </w:p>
    <w:p>
      <w:pPr>
        <w:pStyle w:val="Normal"/>
        <w:keepNext w:val="false"/>
        <w:keepLines w:val="false"/>
        <w:pageBreakBefore w:val="false"/>
        <w:widowControl/>
        <w:kinsoku w:val="true"/>
        <w:overflowPunct w:val="true"/>
        <w:autoSpaceDE w:val="true"/>
        <w:bidi w:val="0"/>
        <w:snapToGrid w:val="true"/>
        <w:spacing w:lineRule="exact" w:line="560"/>
        <w:ind w:firstLineChars="200" w:startChars="0" w:start="0" w:endChars="0" w:end="0"/>
        <w:jc w:val="both"/>
        <w:textAlignment w:val="auto"/>
        <w:rPr>
          <w:rFonts w:ascii="仿宋_GB2312;仿宋" w:hAnsi="仿宋_GB2312;仿宋" w:eastAsia="仿宋_GB2312;仿宋" w:cs="仿宋_GB2312;仿宋" w:hint="eastAsia"/>
          <w:bCs/>
          <w:sz w:val="32"/>
          <w:szCs w:val="32"/>
        </w:rPr>
      </w:pPr>
      <w:r>
        <w:rPr>
          <w:rFonts w:ascii="仿宋_GB2312;仿宋" w:hAnsi="仿宋_GB2312;仿宋" w:cs="仿宋_GB2312;仿宋" w:hint="eastAsia" w:eastAsia="仿宋_GB2312;仿宋"/>
          <w:bCs/>
          <w:sz w:val="32"/>
          <w:szCs w:val="32"/>
        </w:rPr>
        <w:t>（一）建设单位或者个人依法办理施工许可后，委托具有相应测绘资质的单位进行放线；</w:t>
      </w:r>
    </w:p>
    <w:p>
      <w:pPr>
        <w:pStyle w:val="Normal"/>
        <w:keepNext w:val="false"/>
        <w:keepLines w:val="false"/>
        <w:pageBreakBefore w:val="false"/>
        <w:widowControl/>
        <w:kinsoku w:val="true"/>
        <w:overflowPunct w:val="true"/>
        <w:autoSpaceDE w:val="true"/>
        <w:bidi w:val="0"/>
        <w:snapToGrid w:val="true"/>
        <w:spacing w:lineRule="exact" w:line="560"/>
        <w:ind w:firstLineChars="200" w:startChars="0" w:start="0" w:endChars="0" w:end="0"/>
        <w:jc w:val="both"/>
        <w:textAlignment w:val="auto"/>
        <w:rPr>
          <w:rFonts w:ascii="仿宋_GB2312;仿宋" w:hAnsi="仿宋_GB2312;仿宋" w:eastAsia="仿宋_GB2312;仿宋" w:cs="仿宋_GB2312;仿宋" w:hint="eastAsia"/>
          <w:bCs/>
          <w:sz w:val="32"/>
          <w:szCs w:val="32"/>
        </w:rPr>
      </w:pPr>
      <w:r>
        <w:rPr>
          <w:rFonts w:ascii="仿宋_GB2312;仿宋" w:hAnsi="仿宋_GB2312;仿宋" w:cs="仿宋_GB2312;仿宋" w:hint="eastAsia" w:eastAsia="仿宋_GB2312;仿宋"/>
          <w:bCs/>
          <w:sz w:val="32"/>
          <w:szCs w:val="32"/>
        </w:rPr>
        <w:t>（二）建设单位或者个人应当在放线后、施工前，向市、县（市）城乡规划主管部门书面申请验线。</w:t>
      </w:r>
    </w:p>
    <w:p>
      <w:pPr>
        <w:pStyle w:val="Normal"/>
        <w:keepNext w:val="false"/>
        <w:keepLines w:val="false"/>
        <w:pageBreakBefore w:val="false"/>
        <w:widowControl/>
        <w:kinsoku w:val="true"/>
        <w:overflowPunct w:val="true"/>
        <w:autoSpaceDE w:val="true"/>
        <w:bidi w:val="0"/>
        <w:snapToGrid w:val="true"/>
        <w:spacing w:lineRule="exact" w:line="560"/>
        <w:ind w:firstLineChars="200" w:startChars="0" w:start="0" w:endChars="0" w:end="0"/>
        <w:jc w:val="both"/>
        <w:textAlignment w:val="auto"/>
        <w:rPr>
          <w:rFonts w:ascii="仿宋_GB2312;仿宋" w:hAnsi="仿宋_GB2312;仿宋" w:eastAsia="仿宋_GB2312;仿宋" w:cs="仿宋_GB2312;仿宋" w:hint="eastAsia"/>
          <w:bCs/>
          <w:sz w:val="32"/>
          <w:szCs w:val="32"/>
        </w:rPr>
      </w:pPr>
      <w:r>
        <w:rPr>
          <w:rFonts w:ascii="仿宋_GB2312;仿宋" w:hAnsi="仿宋_GB2312;仿宋" w:cs="仿宋_GB2312;仿宋" w:hint="eastAsia" w:eastAsia="仿宋_GB2312;仿宋"/>
          <w:bCs/>
          <w:sz w:val="32"/>
          <w:szCs w:val="32"/>
        </w:rPr>
        <w:t>城乡规划主管部门应当对符合规划要求的，出具验线合格证明；不符合规划要求的，提出书面整改意见，并由建设单位或者个人整改后重新履行验线程序。”</w:t>
      </w:r>
    </w:p>
    <w:p>
      <w:pPr>
        <w:pStyle w:val="Normal"/>
        <w:keepNext w:val="false"/>
        <w:keepLines w:val="false"/>
        <w:pageBreakBefore w:val="false"/>
        <w:widowControl w:val="false"/>
        <w:kinsoku w:val="true"/>
        <w:overflowPunct w:val="true"/>
        <w:autoSpaceDE w:val="false"/>
        <w:bidi w:val="0"/>
        <w:snapToGrid w:val="true"/>
        <w:spacing w:lineRule="exact" w:line="560"/>
        <w:ind w:firstLineChars="199" w:startChars="0" w:start="0" w:endChars="0" w:end="0"/>
        <w:jc w:val="both"/>
        <w:textAlignment w:val="auto"/>
        <w:rPr>
          <w:rFonts w:ascii="仿宋_GB2312;仿宋" w:hAnsi="仿宋_GB2312;仿宋" w:eastAsia="仿宋_GB2312;仿宋" w:cs="仿宋_GB2312;仿宋" w:hint="eastAsia"/>
          <w:sz w:val="32"/>
          <w:szCs w:val="32"/>
        </w:rPr>
      </w:pPr>
      <w:r>
        <w:rPr>
          <w:rFonts w:ascii="仿宋_GB2312;仿宋" w:hAnsi="仿宋_GB2312;仿宋" w:cs="仿宋_GB2312;仿宋" w:hint="eastAsia" w:eastAsia="仿宋_GB2312;仿宋"/>
          <w:sz w:val="32"/>
          <w:szCs w:val="32"/>
        </w:rPr>
        <w:t>二、删除第五十三条，第五十三条以后各条序号依次提前。本决定自公布之日起施行。</w:t>
      </w:r>
    </w:p>
    <w:p>
      <w:pPr>
        <w:pStyle w:val="Normal"/>
        <w:keepNext w:val="false"/>
        <w:keepLines w:val="false"/>
        <w:pageBreakBefore w:val="false"/>
        <w:widowControl w:val="false"/>
        <w:kinsoku w:val="true"/>
        <w:overflowPunct w:val="true"/>
        <w:autoSpaceDE w:val="false"/>
        <w:bidi w:val="0"/>
        <w:snapToGrid w:val="true"/>
        <w:spacing w:lineRule="exact" w:line="560"/>
        <w:ind w:firstLineChars="200" w:startChars="0" w:start="0" w:endChars="0" w:end="0"/>
        <w:jc w:val="both"/>
        <w:textAlignment w:val="auto"/>
        <w:rPr/>
      </w:pPr>
      <w:r>
        <w:rPr>
          <w:rFonts w:ascii="仿宋_GB2312;仿宋" w:hAnsi="仿宋_GB2312;仿宋" w:cs="仿宋_GB2312;仿宋" w:hint="eastAsia" w:eastAsia="仿宋_GB2312;仿宋"/>
          <w:sz w:val="32"/>
          <w:szCs w:val="32"/>
        </w:rPr>
        <w:t>《丹东市城乡规划条例》根据本决定作相应修改，待辽宁省人大常委会审查批准后重新公布。</w:t>
      </w:r>
    </w:p>
    <w:sectPr>
      <w:footerReference w:type="default" r:id="rId2"/>
      <w:type w:val="nextPage"/>
      <w:pgSz w:w="11906" w:h="16838"/>
      <w:pgMar w:left="1587" w:right="1474" w:gutter="0" w:header="0" w:top="2098" w:footer="992" w:bottom="1984"/>
      <w:pgNumType w:fmt="decimal"/>
      <w:formProt w:val="false"/>
      <w:textDirection w:val="lrTb"/>
      <w:docGrid w:type="lines" w:linePitch="318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00" w:characterSet="windows-1252"/>
    <w:family w:val="swiss"/>
    <w:pitch w:val="default"/>
  </w:font>
  <w:font w:name="Liberation Sans">
    <w:altName w:val="Arial"/>
    <w:charset w:val="01" w:characterSet="utf-8"/>
    <w:family w:val="swiss"/>
    <w:pitch w:val="variable"/>
  </w:font>
  <w:font w:name="宋体">
    <w:charset w:val="86"/>
    <w:family w:val="auto"/>
    <w:pitch w:val="default"/>
  </w:font>
  <w:font w:name="楷体_GB2312">
    <w:altName w:val="楷体"/>
    <w:charset w:val="86"/>
    <w:family w:val="auto"/>
    <w:pitch w:val="default"/>
  </w:font>
  <w:font w:name="仿宋_GB2312">
    <w:altName w:val="仿宋"/>
    <w:charset w:val="86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>
        <w:sz w:val="18"/>
      </w:rPr>
    </w:pPr>
    <w:r>
      <w:rPr>
        <w:sz w:val="18"/>
      </w:rPr>
    </w:r>
    <w:r>
      <mc:AlternateContent>
        <mc:Choice Requires="wps">
          <w:drawing>
            <wp:anchor distT="0" distB="0" distL="114935" distR="0" simplePos="0" relativeHeight="3" behindDoc="1" locked="0" layoutInCell="0" allowOverlap="1">
              <wp:simplePos x="0" y="0"/>
              <wp:positionH relativeFrom="margin">
                <wp:align>outside</wp:align>
              </wp:positionH>
              <wp:positionV relativeFrom="paragraph">
                <wp:posOffset>-355600</wp:posOffset>
              </wp:positionV>
              <wp:extent cx="553720" cy="908050"/>
              <wp:effectExtent l="0" t="0" r="0" b="0"/>
              <wp:wrapNone/>
              <wp:docPr id="1" name="Frame1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53720" cy="908050"/>
                      </a:xfrm>
                      <a:prstGeom prst="rect"/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p>
                          <w:pPr>
                            <w:pStyle w:val="Footer"/>
                            <w:ind w:firstLineChars="0" w:firstLine="0" w:startChars="171" w:endChars="162"/>
                            <w:rPr/>
                          </w:pPr>
                          <w:r>
                            <w:rPr>
                              <w:rFonts w:eastAsia="宋体" w:cs="宋体" w:hint="eastAsia" w:ascii="宋体" w:hAnsi="宋体"/>
                              <w:sz w:val="28"/>
                              <w:szCs w:val="28"/>
                            </w:rPr>
                            <w:t xml:space="preserve">— </w:t>
                          </w:r>
                          <w:r>
                            <w:rPr>
                              <w:rFonts w:eastAsia="宋体" w:cs="宋体" w:hint="eastAsia" w:ascii="宋体" w:hAnsi="宋体"/>
                              <w:sz w:val="28"/>
                              <w:szCs w:val="28"/>
                            </w:rPr>
                            <w:fldChar w:fldCharType="begin"/>
                          </w:r>
                          <w:r>
                            <w:rPr>
                              <w:rFonts w:eastAsia="宋体" w:cs="宋体" w:hint="eastAsia" w:ascii="宋体" w:hAnsi="宋体"/>
                              <w:sz w:val="28"/>
                              <w:szCs w:val="28"/>
                            </w:rPr>
                            <w:instrText xml:space="preserve"> PAGE </w:instrText>
                          </w:r>
                          <w:r>
                            <w:rPr>
                              <w:rFonts w:eastAsia="宋体" w:cs="宋体" w:hint="eastAsia" w:ascii="宋体" w:hAnsi="宋体"/>
                              <w:sz w:val="28"/>
                              <w:szCs w:val="28"/>
                            </w:rPr>
                            <w:fldChar w:fldCharType="separate"/>
                          </w:r>
                          <w:r>
                            <w:rPr>
                              <w:rFonts w:eastAsia="宋体" w:cs="宋体" w:hint="eastAsia" w:ascii="宋体" w:hAnsi="宋体"/>
                              <w:sz w:val="28"/>
                              <w:szCs w:val="28"/>
                            </w:rPr>
                            <w:t>2</w:t>
                          </w:r>
                          <w:r>
                            <w:rPr>
                              <w:rFonts w:eastAsia="宋体" w:cs="宋体" w:hint="eastAsia" w:ascii="宋体" w:hAnsi="宋体"/>
                              <w:sz w:val="28"/>
                              <w:szCs w:val="28"/>
                            </w:rPr>
                            <w:fldChar w:fldCharType="end"/>
                          </w:r>
                          <w:r>
                            <w:rPr>
                              <w:rFonts w:eastAsia="宋体" w:cs="宋体" w:hint="eastAsia" w:ascii="宋体" w:hAnsi="宋体"/>
                              <w:sz w:val="28"/>
                              <w:szCs w:val="28"/>
                            </w:rPr>
                            <w:t xml:space="preserve"> —</w:t>
                          </w:r>
                        </w:p>
                      </w:txbxContent>
                    </wps:txbx>
                    <wps:bodyPr anchor="t" lIns="635" tIns="635" rIns="635" bIns="635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rect fillcolor="#FFFFFF" style="position:absolute;rotation:-0;width:43.6pt;height:71.5pt;mso-wrap-distance-left:9.05pt;mso-wrap-distance-right:0pt;mso-wrap-distance-top:0pt;mso-wrap-distance-bottom:0pt;margin-top:-28pt;mso-position-vertical-relative:text;margin-left:9.05pt;mso-position-horizontal:outside;mso-position-horizontal-relative:margin">
              <v:fill opacity="0f"/>
              <v:textbox inset="0.000694444444444445in,0.000694444444444445in,0.000694444444444445in,0.000694444444444445in">
                <w:txbxContent>
                  <w:p>
                    <w:pPr>
                      <w:pStyle w:val="Footer"/>
                      <w:ind w:firstLineChars="0" w:firstLine="0" w:startChars="171" w:endChars="162"/>
                      <w:rPr/>
                    </w:pPr>
                    <w:r>
                      <w:rPr>
                        <w:rFonts w:eastAsia="宋体" w:cs="宋体" w:hint="eastAsia" w:ascii="宋体" w:hAnsi="宋体"/>
                        <w:sz w:val="28"/>
                        <w:szCs w:val="28"/>
                      </w:rPr>
                      <w:t xml:space="preserve">— </w:t>
                    </w:r>
                    <w:r>
                      <w:rPr>
                        <w:rFonts w:eastAsia="宋体" w:cs="宋体" w:hint="eastAsia" w:ascii="宋体" w:hAnsi="宋体"/>
                        <w:sz w:val="28"/>
                        <w:szCs w:val="28"/>
                      </w:rPr>
                      <w:fldChar w:fldCharType="begin"/>
                    </w:r>
                    <w:r>
                      <w:rPr>
                        <w:rFonts w:eastAsia="宋体" w:cs="宋体" w:hint="eastAsia" w:ascii="宋体" w:hAnsi="宋体"/>
                        <w:sz w:val="28"/>
                        <w:szCs w:val="28"/>
                      </w:rPr>
                      <w:instrText xml:space="preserve"> PAGE </w:instrText>
                    </w:r>
                    <w:r>
                      <w:rPr>
                        <w:rFonts w:eastAsia="宋体" w:cs="宋体" w:hint="eastAsia" w:ascii="宋体" w:hAnsi="宋体"/>
                        <w:sz w:val="28"/>
                        <w:szCs w:val="28"/>
                      </w:rPr>
                      <w:fldChar w:fldCharType="separate"/>
                    </w:r>
                    <w:r>
                      <w:rPr>
                        <w:rFonts w:eastAsia="宋体" w:cs="宋体" w:hint="eastAsia" w:ascii="宋体" w:hAnsi="宋体"/>
                        <w:sz w:val="28"/>
                        <w:szCs w:val="28"/>
                      </w:rPr>
                      <w:t>2</w:t>
                    </w:r>
                    <w:r>
                      <w:rPr>
                        <w:rFonts w:eastAsia="宋体" w:cs="宋体" w:hint="eastAsia" w:ascii="宋体" w:hAnsi="宋体"/>
                        <w:sz w:val="28"/>
                        <w:szCs w:val="28"/>
                      </w:rPr>
                      <w:fldChar w:fldCharType="end"/>
                    </w:r>
                    <w:r>
                      <w:rPr>
                        <w:rFonts w:eastAsia="宋体" w:cs="宋体" w:hint="eastAsia" w:ascii="宋体" w:hAnsi="宋体"/>
                        <w:sz w:val="28"/>
                        <w:szCs w:val="28"/>
                      </w:rPr>
                      <w:t xml:space="preserve"> —</w:t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settings.xml><?xml version="1.0" encoding="utf-8"?>
<w:settings xmlns:w="http://schemas.openxmlformats.org/wordprocessingml/2006/main">
  <w:zoom w:percent="100"/>
  <w:defaultTabStop w:val="420"/>
  <w:autoHyphenation w:val="true"/>
  <w:hyphenationZone w:val="0"/>
  <w:compat>
    <w:doNotExpandShiftReturn/>
    <w:adjustLineHeightInTable/>
    <w:compatSetting w:name="compatibilityMode" w:uri="http://schemas.microsoft.com/office/word" w:val="11"/>
  </w:compat>
  <w:docVars>
    <w:docVar w:name="commondata" w:val="eyJoZGlkIjoiNWMxNDUyNTNkNWNiNDMxOWIzZjFiY2Q4ZWUyOWU2OTUifQ=="/>
  </w:docVars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Songti SC" w:cs="Arial Unicode M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  <w:jc w:val="both"/>
    </w:pPr>
    <w:rPr>
      <w:rFonts w:ascii="Calibri" w:hAnsi="Calibri" w:eastAsia="宋体" w:cs="Times New Roman"/>
      <w:color w:val="auto"/>
      <w:kern w:val="2"/>
      <w:sz w:val="21"/>
      <w:szCs w:val="22"/>
      <w:lang w:bidi="ar-SA" w:val="en-US" w:eastAsia="zh-CN"/>
    </w:rPr>
  </w:style>
  <w:style w:type="character" w:styleId="Style14">
    <w:name w:val="默认段落字体"/>
    <w:qFormat/>
    <w:rPr/>
  </w:style>
  <w:style w:type="character" w:styleId="CharChar">
    <w:name w:val=" Char Char"/>
    <w:basedOn w:val="Style14"/>
    <w:qFormat/>
    <w:rPr>
      <w:sz w:val="18"/>
      <w:szCs w:val="18"/>
    </w:rPr>
  </w:style>
  <w:style w:type="character" w:styleId="CharChar1">
    <w:name w:val=" Char Char1"/>
    <w:basedOn w:val="Style14"/>
    <w:qFormat/>
    <w:rPr>
      <w:sz w:val="18"/>
      <w:szCs w:val="18"/>
    </w:rPr>
  </w:style>
  <w:style w:type="character" w:styleId="CharChar2">
    <w:name w:val=" Char Char2"/>
    <w:basedOn w:val="Style14"/>
    <w:qFormat/>
    <w:rPr>
      <w:sz w:val="18"/>
      <w:szCs w:val="18"/>
    </w:rPr>
  </w:style>
  <w:style w:type="character" w:styleId="PageNumber">
    <w:name w:val="page number"/>
    <w:basedOn w:val="Style14"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PingFang SC" w:cs="Arial Unicode M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Style15">
    <w:name w:val="批注框文本"/>
    <w:basedOn w:val="Normal"/>
    <w:qFormat/>
    <w:pPr/>
    <w:rPr>
      <w:sz w:val="18"/>
      <w:szCs w:val="18"/>
    </w:rPr>
  </w:style>
  <w:style w:type="paragraph" w:styleId="HeaderandFooter">
    <w:name w:val="Header and Footer"/>
    <w:basedOn w:val="Normal"/>
    <w:qFormat/>
    <w:pPr>
      <w:suppressLineNumbers/>
      <w:tabs>
        <w:tab w:val="clear" w:pos="420"/>
        <w:tab w:val="center" w:pos="4819" w:leader="none"/>
        <w:tab w:val="right" w:pos="9638" w:leader="none"/>
      </w:tabs>
    </w:pPr>
    <w:rPr/>
  </w:style>
  <w:style w:type="paragraph" w:styleId="Footer">
    <w:name w:val="footer"/>
    <w:basedOn w:val="Normal"/>
    <w:pPr>
      <w:tabs>
        <w:tab w:val="clear" w:pos="420"/>
        <w:tab w:val="center" w:pos="4153" w:leader="none"/>
        <w:tab w:val="right" w:pos="8306" w:leader="none"/>
      </w:tabs>
      <w:snapToGrid w:val="false"/>
      <w:jc w:val="start"/>
    </w:pPr>
    <w:rPr>
      <w:sz w:val="18"/>
      <w:szCs w:val="18"/>
    </w:rPr>
  </w:style>
  <w:style w:type="paragraph" w:styleId="Header">
    <w:name w:val="header"/>
    <w:basedOn w:val="Normal"/>
    <w:pPr>
      <w:pBdr>
        <w:bottom w:val="single" w:sz="6" w:space="1" w:color="000000"/>
      </w:pBdr>
      <w:tabs>
        <w:tab w:val="clear" w:pos="420"/>
        <w:tab w:val="center" w:pos="4153" w:leader="none"/>
        <w:tab w:val="right" w:pos="8306" w:leader="none"/>
      </w:tabs>
      <w:snapToGrid w:val="false"/>
      <w:jc w:val="center"/>
    </w:pPr>
    <w:rPr>
      <w:sz w:val="18"/>
      <w:szCs w:val="18"/>
    </w:rPr>
  </w:style>
  <w:style w:type="paragraph" w:styleId="FrameContents">
    <w:name w:val="Frame Contents"/>
    <w:basedOn w:val="Normal"/>
    <w:qFormat/>
    <w:pPr/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</Template>
  <TotalTime>16800</TotalTime>
  <Application>LibreOffice/26.2.2.2$MacOSX_AARCH64 LibreOffice_project/1f77d10d6938fd34972958f64b2bcfa54f8b1ba5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2020-08-14T22:36:00Z</dcterms:created>
  <dc:creator>DELL273</dc:creator>
  <dc:description/>
  <dc:language>en-US</dc:language>
  <cp:lastModifiedBy>PC400</cp:lastModifiedBy>
  <cp:lastPrinted>2017-12-01T22:03:00Z</cp:lastPrinted>
  <dcterms:modified xsi:type="dcterms:W3CDTF">2022-08-08T13:45:46Z</dcterms:modified>
  <cp:revision>4</cp:revision>
  <dc:subject/>
  <dc:title>附2：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ACCF2673B8AD499EAC7E5AE8DB2E158D</vt:lpwstr>
  </property>
  <property fmtid="{D5CDD505-2E9C-101B-9397-08002B2CF9AE}" pid="3" name="KSOProductBuildVer">
    <vt:lpwstr>2052-11.1.0.12302</vt:lpwstr>
  </property>
</Properties>
</file>