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rPr>
          <w:rFonts w:cs="宋体;SimSun" w:hint="eastAsia"/>
          <w:szCs w:val="32"/>
        </w:rPr>
      </w:pPr>
      <w:r>
        <w:rPr>
          <w:rFonts w:cs="宋体;SimSun" w:hint="eastAsia"/>
          <w:szCs w:val="32"/>
        </w:rPr>
      </w:r>
    </w:p>
    <w:p>
      <w:pPr>
        <w:pStyle w:val="Style15"/>
        <w:rPr>
          <w:rFonts w:cs="宋体;SimSun" w:hint="eastAsia"/>
          <w:szCs w:val="32"/>
        </w:rPr>
      </w:pPr>
      <w:r>
        <w:rPr>
          <w:rFonts w:eastAsia="仿宋_GB2312" w:cs="宋体;SimSun" w:hint="eastAsia" w:ascii="仿宋_GB2312" w:hAnsi="仿宋_GB2312"/>
          <w:szCs w:val="32"/>
        </w:rPr>
        <w:t xml:space="preserve"> </w:t>
      </w:r>
    </w:p>
    <w:p>
      <w:pPr>
        <w:pStyle w:val="Style15"/>
        <w:jc w:val="center"/>
        <w:rPr>
          <w:rFonts w:cs="宋体;SimSun" w:hint="eastAsia"/>
          <w:bCs/>
          <w:sz w:val="44"/>
          <w:szCs w:val="44"/>
        </w:rPr>
      </w:pPr>
      <w:r>
        <w:rPr>
          <w:rFonts w:cs="宋体;SimSun" w:hint="eastAsia"/>
          <w:bCs/>
          <w:sz w:val="44"/>
          <w:szCs w:val="44"/>
        </w:rPr>
        <w:t>抚顺市体育市场管理条例</w:t>
      </w:r>
    </w:p>
    <w:p>
      <w:pPr>
        <w:pStyle w:val="Style15"/>
        <w:jc w:val="center"/>
        <w:rPr>
          <w:rFonts w:cs="宋体;SimSun" w:hint="eastAsia"/>
          <w:bCs/>
          <w:sz w:val="44"/>
          <w:szCs w:val="32"/>
        </w:rPr>
      </w:pPr>
      <w:r>
        <w:rPr>
          <w:rFonts w:cs="宋体;SimSun" w:hint="eastAsia"/>
          <w:bCs/>
          <w:sz w:val="44"/>
          <w:szCs w:val="32"/>
        </w:rPr>
      </w:r>
    </w:p>
    <w:p>
      <w:pPr>
        <w:pStyle w:val="Style15"/>
        <w:ind w:firstLineChars="0" w:firstLine="0" w:startChars="200" w:endChars="200"/>
        <w:jc w:val="start"/>
        <w:rPr/>
      </w:pPr>
      <w:r>
        <w:rPr>
          <w:rFonts w:eastAsia="楷体" w:cs="楷体" w:hint="eastAsia" w:ascii="楷体" w:hAnsi="楷体"/>
          <w:szCs w:val="32"/>
        </w:rPr>
        <w:t>(2003</w:t>
      </w:r>
      <w:r>
        <w:rPr>
          <w:rFonts w:ascii="楷体" w:hAnsi="楷体" w:cs="楷体" w:hint="eastAsia" w:eastAsia="楷体"/>
          <w:szCs w:val="32"/>
        </w:rPr>
        <w:t>年</w:t>
      </w:r>
      <w:r>
        <w:rPr>
          <w:rFonts w:eastAsia="楷体" w:cs="楷体" w:hint="eastAsia" w:ascii="楷体" w:hAnsi="楷体"/>
          <w:szCs w:val="32"/>
        </w:rPr>
        <w:t>12</w:t>
      </w:r>
      <w:r>
        <w:rPr>
          <w:rFonts w:ascii="楷体" w:hAnsi="楷体" w:cs="楷体" w:hint="eastAsia" w:eastAsia="楷体"/>
          <w:szCs w:val="32"/>
        </w:rPr>
        <w:t>月</w:t>
      </w:r>
      <w:r>
        <w:rPr>
          <w:rFonts w:eastAsia="楷体" w:cs="楷体" w:hint="eastAsia" w:ascii="楷体" w:hAnsi="楷体"/>
          <w:szCs w:val="32"/>
        </w:rPr>
        <w:t>17</w:t>
      </w:r>
      <w:r>
        <w:rPr>
          <w:rFonts w:ascii="楷体" w:hAnsi="楷体" w:cs="楷体" w:hint="eastAsia" w:eastAsia="楷体"/>
          <w:szCs w:val="32"/>
        </w:rPr>
        <w:t xml:space="preserve">日抚顺市第十三届人民代表大会常务委员会第六次会议通过  </w:t>
      </w:r>
      <w:r>
        <w:rPr>
          <w:rFonts w:eastAsia="楷体" w:cs="楷体" w:hint="eastAsia" w:ascii="楷体" w:hAnsi="楷体"/>
          <w:szCs w:val="32"/>
        </w:rPr>
        <w:t>2004</w:t>
      </w:r>
      <w:r>
        <w:rPr>
          <w:rFonts w:ascii="楷体" w:hAnsi="楷体" w:cs="楷体" w:hint="eastAsia" w:eastAsia="楷体"/>
          <w:szCs w:val="32"/>
        </w:rPr>
        <w:t>年</w:t>
      </w:r>
      <w:r>
        <w:rPr>
          <w:rFonts w:eastAsia="楷体" w:cs="楷体" w:hint="eastAsia" w:ascii="楷体" w:hAnsi="楷体"/>
          <w:szCs w:val="32"/>
        </w:rPr>
        <w:t>1</w:t>
      </w:r>
      <w:r>
        <w:rPr>
          <w:rFonts w:ascii="楷体" w:hAnsi="楷体" w:cs="楷体" w:hint="eastAsia" w:eastAsia="楷体"/>
          <w:szCs w:val="32"/>
        </w:rPr>
        <w:t>月</w:t>
      </w:r>
      <w:r>
        <w:rPr>
          <w:rFonts w:eastAsia="楷体" w:cs="楷体" w:hint="eastAsia" w:ascii="楷体" w:hAnsi="楷体"/>
          <w:szCs w:val="32"/>
        </w:rPr>
        <w:t>16</w:t>
      </w:r>
      <w:r>
        <w:rPr>
          <w:rFonts w:ascii="楷体" w:hAnsi="楷体" w:cs="楷体" w:hint="eastAsia" w:eastAsia="楷体"/>
          <w:szCs w:val="32"/>
        </w:rPr>
        <w:t>日辽宁省第十届人民代表大会常务委员会第七次会议批准 根据</w:t>
      </w:r>
      <w:r>
        <w:rPr>
          <w:rFonts w:eastAsia="楷体" w:cs="楷体" w:hint="eastAsia" w:ascii="楷体" w:hAnsi="楷体"/>
          <w:szCs w:val="32"/>
        </w:rPr>
        <w:t>2010</w:t>
      </w:r>
      <w:r>
        <w:rPr>
          <w:rFonts w:ascii="楷体" w:hAnsi="楷体" w:cs="楷体" w:hint="eastAsia" w:eastAsia="楷体"/>
          <w:szCs w:val="32"/>
        </w:rPr>
        <w:t>年</w:t>
      </w:r>
      <w:r>
        <w:rPr>
          <w:rFonts w:eastAsia="楷体" w:cs="楷体" w:hint="eastAsia" w:ascii="楷体" w:hAnsi="楷体"/>
          <w:szCs w:val="32"/>
        </w:rPr>
        <w:t>8</w:t>
      </w:r>
      <w:r>
        <w:rPr>
          <w:rFonts w:ascii="楷体" w:hAnsi="楷体" w:cs="楷体" w:hint="eastAsia" w:eastAsia="楷体"/>
          <w:szCs w:val="32"/>
        </w:rPr>
        <w:t>月</w:t>
      </w:r>
      <w:r>
        <w:rPr>
          <w:rFonts w:eastAsia="楷体" w:cs="楷体" w:hint="eastAsia" w:ascii="楷体" w:hAnsi="楷体"/>
          <w:szCs w:val="32"/>
        </w:rPr>
        <w:t>31</w:t>
      </w:r>
      <w:r>
        <w:rPr>
          <w:rFonts w:ascii="楷体" w:hAnsi="楷体" w:cs="楷体" w:hint="eastAsia" w:eastAsia="楷体"/>
          <w:szCs w:val="32"/>
        </w:rPr>
        <w:t xml:space="preserve">日抚顺市第十四届人民代表大会常务委员会第十七次会议通过  </w:t>
      </w:r>
      <w:r>
        <w:rPr>
          <w:rFonts w:eastAsia="楷体" w:cs="楷体" w:hint="eastAsia" w:ascii="楷体" w:hAnsi="楷体"/>
          <w:szCs w:val="32"/>
        </w:rPr>
        <w:t>2010</w:t>
      </w:r>
      <w:r>
        <w:rPr>
          <w:rFonts w:ascii="楷体" w:hAnsi="楷体" w:cs="楷体" w:hint="eastAsia" w:eastAsia="楷体"/>
          <w:szCs w:val="32"/>
        </w:rPr>
        <w:t>年</w:t>
      </w:r>
      <w:r>
        <w:rPr>
          <w:rFonts w:eastAsia="楷体" w:cs="楷体" w:hint="eastAsia" w:ascii="楷体" w:hAnsi="楷体"/>
          <w:szCs w:val="32"/>
        </w:rPr>
        <w:t>9</w:t>
      </w:r>
      <w:r>
        <w:rPr>
          <w:rFonts w:ascii="楷体" w:hAnsi="楷体" w:cs="楷体" w:hint="eastAsia" w:eastAsia="楷体"/>
          <w:szCs w:val="32"/>
        </w:rPr>
        <w:t>月</w:t>
      </w:r>
      <w:r>
        <w:rPr>
          <w:rFonts w:eastAsia="楷体" w:cs="楷体" w:hint="eastAsia" w:ascii="楷体" w:hAnsi="楷体"/>
          <w:szCs w:val="32"/>
        </w:rPr>
        <w:t>29</w:t>
      </w:r>
      <w:r>
        <w:rPr>
          <w:rFonts w:ascii="楷体" w:hAnsi="楷体" w:cs="楷体" w:hint="eastAsia" w:eastAsia="楷体"/>
          <w:szCs w:val="32"/>
        </w:rPr>
        <w:t>日辽宁省第十一届人民代表大会常务委员会第十九次会议批准的《抚顺市人大常委会关于修改〈抚顺市体育市场管理条例〉的决定》第一次修正  根据</w:t>
      </w:r>
      <w:r>
        <w:rPr>
          <w:rFonts w:eastAsia="楷体" w:cs="楷体" w:hint="eastAsia" w:ascii="楷体" w:hAnsi="楷体"/>
          <w:szCs w:val="32"/>
        </w:rPr>
        <w:t>2017</w:t>
      </w:r>
      <w:r>
        <w:rPr>
          <w:rFonts w:ascii="楷体" w:hAnsi="楷体" w:cs="楷体" w:hint="eastAsia" w:eastAsia="楷体"/>
          <w:szCs w:val="32"/>
        </w:rPr>
        <w:t>年</w:t>
      </w:r>
      <w:r>
        <w:rPr>
          <w:rFonts w:eastAsia="楷体" w:cs="楷体" w:hint="eastAsia" w:ascii="楷体" w:hAnsi="楷体"/>
          <w:szCs w:val="32"/>
        </w:rPr>
        <w:t>6</w:t>
      </w:r>
      <w:r>
        <w:rPr>
          <w:rFonts w:ascii="楷体" w:hAnsi="楷体" w:cs="楷体" w:hint="eastAsia" w:eastAsia="楷体"/>
          <w:szCs w:val="32"/>
        </w:rPr>
        <w:t>月</w:t>
      </w:r>
      <w:r>
        <w:rPr>
          <w:rFonts w:eastAsia="楷体" w:cs="楷体" w:hint="eastAsia" w:ascii="楷体" w:hAnsi="楷体"/>
          <w:szCs w:val="32"/>
        </w:rPr>
        <w:t>20</w:t>
      </w:r>
      <w:r>
        <w:rPr>
          <w:rFonts w:ascii="楷体" w:hAnsi="楷体" w:cs="楷体" w:hint="eastAsia" w:eastAsia="楷体"/>
          <w:szCs w:val="32"/>
        </w:rPr>
        <w:t xml:space="preserve">日抚顺市第十五届人民代表大会常务委员会第三十四次会议通过  </w:t>
      </w:r>
      <w:r>
        <w:rPr>
          <w:rFonts w:eastAsia="楷体" w:cs="楷体" w:hint="eastAsia" w:ascii="楷体" w:hAnsi="楷体"/>
          <w:szCs w:val="32"/>
        </w:rPr>
        <w:t>2017</w:t>
      </w:r>
      <w:r>
        <w:rPr>
          <w:rFonts w:ascii="楷体" w:hAnsi="楷体" w:cs="楷体" w:hint="eastAsia" w:eastAsia="楷体"/>
          <w:szCs w:val="32"/>
        </w:rPr>
        <w:t>年</w:t>
      </w:r>
      <w:r>
        <w:rPr>
          <w:rFonts w:eastAsia="楷体" w:cs="楷体" w:hint="eastAsia" w:ascii="楷体" w:hAnsi="楷体"/>
          <w:szCs w:val="32"/>
        </w:rPr>
        <w:t>9</w:t>
      </w:r>
      <w:r>
        <w:rPr>
          <w:rFonts w:ascii="楷体" w:hAnsi="楷体" w:cs="楷体" w:hint="eastAsia" w:eastAsia="楷体"/>
          <w:szCs w:val="32"/>
        </w:rPr>
        <w:t>月</w:t>
      </w:r>
      <w:r>
        <w:rPr>
          <w:rFonts w:eastAsia="楷体" w:cs="楷体" w:hint="eastAsia" w:ascii="楷体" w:hAnsi="楷体"/>
          <w:szCs w:val="32"/>
        </w:rPr>
        <w:t>28</w:t>
      </w:r>
      <w:r>
        <w:rPr>
          <w:rFonts w:ascii="楷体" w:hAnsi="楷体" w:cs="楷体" w:hint="eastAsia" w:eastAsia="楷体"/>
          <w:szCs w:val="32"/>
        </w:rPr>
        <w:t>日辽宁省第十二届人民代表大会常务委员会第三十六次会议批准的《抚顺市人大常委会关于废止和修改部分地方性法规的决定》第二次修正</w:t>
      </w:r>
      <w:r>
        <w:rPr>
          <w:rFonts w:eastAsia="楷体" w:cs="楷体" w:hint="eastAsia" w:ascii="楷体" w:hAnsi="楷体"/>
          <w:szCs w:val="32"/>
        </w:rPr>
        <w:t>)</w:t>
      </w:r>
    </w:p>
    <w:p>
      <w:pPr>
        <w:pStyle w:val="Style15"/>
        <w:ind w:firstLineChars="0" w:firstLine="0" w:startChars="200" w:endChars="200"/>
        <w:jc w:val="start"/>
        <w:rPr>
          <w:rFonts w:ascii="楷体" w:hAnsi="楷体" w:eastAsia="楷体" w:cs="宋体;SimSun" w:hint="eastAsia"/>
          <w:szCs w:val="32"/>
        </w:rPr>
      </w:pPr>
      <w:r>
        <w:rPr>
          <w:rFonts w:eastAsia="楷体" w:cs="宋体;SimSun" w:hint="eastAsia" w:ascii="楷体" w:hAnsi="楷体"/>
          <w:szCs w:val="32"/>
        </w:rPr>
      </w:r>
    </w:p>
    <w:p>
      <w:pPr>
        <w:pStyle w:val="Normal"/>
        <w:jc w:val="center"/>
        <w:rPr>
          <w:rFonts w:ascii="楷体" w:hAnsi="楷体" w:eastAsia="楷体" w:cs="楷体" w:hint="eastAsia"/>
          <w:szCs w:val="32"/>
        </w:rPr>
      </w:pPr>
      <w:r>
        <w:rPr>
          <w:rFonts w:ascii="楷体" w:hAnsi="楷体" w:cs="楷体" w:hint="eastAsia" w:eastAsia="楷体"/>
          <w:szCs w:val="32"/>
        </w:rPr>
        <w:t>目  录</w:t>
      </w:r>
    </w:p>
    <w:p>
      <w:pPr>
        <w:pStyle w:val="Normal"/>
        <w:jc w:val="start"/>
        <w:rPr>
          <w:rFonts w:ascii="楷体" w:hAnsi="楷体" w:eastAsia="楷体" w:cs="楷体" w:hint="eastAsia"/>
          <w:szCs w:val="32"/>
        </w:rPr>
      </w:pPr>
      <w:r>
        <w:rPr>
          <w:rFonts w:eastAsia="楷体" w:cs="楷体" w:hint="eastAsia" w:ascii="楷体" w:hAnsi="楷体"/>
          <w:szCs w:val="32"/>
        </w:rPr>
      </w:r>
    </w:p>
    <w:p>
      <w:pPr>
        <w:pStyle w:val="Normal"/>
        <w:ind w:firstLineChars="200" w:startChars="0" w:start="0" w:endChars="0" w:end="0"/>
        <w:jc w:val="start"/>
        <w:rPr>
          <w:rFonts w:ascii="楷体" w:hAnsi="楷体" w:eastAsia="楷体" w:cs="楷体" w:hint="eastAsia"/>
          <w:szCs w:val="32"/>
        </w:rPr>
      </w:pPr>
      <w:r>
        <w:rPr>
          <w:rFonts w:ascii="楷体" w:hAnsi="楷体" w:cs="楷体" w:hint="eastAsia" w:eastAsia="楷体"/>
          <w:szCs w:val="32"/>
        </w:rPr>
        <w:t>第一章 总    则</w:t>
      </w:r>
    </w:p>
    <w:p>
      <w:pPr>
        <w:pStyle w:val="Normal"/>
        <w:ind w:firstLineChars="200" w:startChars="0" w:start="0" w:endChars="0" w:end="0"/>
        <w:jc w:val="start"/>
        <w:rPr>
          <w:rFonts w:ascii="楷体" w:hAnsi="楷体" w:eastAsia="楷体" w:cs="楷体" w:hint="eastAsia"/>
          <w:szCs w:val="32"/>
        </w:rPr>
      </w:pPr>
      <w:r>
        <w:rPr>
          <w:rFonts w:ascii="楷体" w:hAnsi="楷体" w:cs="楷体" w:hint="eastAsia" w:eastAsia="楷体"/>
          <w:szCs w:val="32"/>
        </w:rPr>
        <w:t>第二章 经营与管理</w:t>
      </w:r>
    </w:p>
    <w:p>
      <w:pPr>
        <w:pStyle w:val="Normal"/>
        <w:ind w:firstLineChars="200" w:startChars="0" w:start="0" w:endChars="0" w:end="0"/>
        <w:jc w:val="start"/>
        <w:rPr>
          <w:rFonts w:ascii="楷体" w:hAnsi="楷体" w:eastAsia="楷体" w:cs="楷体" w:hint="eastAsia"/>
          <w:szCs w:val="32"/>
        </w:rPr>
      </w:pPr>
      <w:r>
        <w:rPr>
          <w:rFonts w:ascii="楷体" w:hAnsi="楷体" w:cs="楷体" w:hint="eastAsia" w:eastAsia="楷体"/>
          <w:szCs w:val="32"/>
        </w:rPr>
        <w:t>第三章 法律责任</w:t>
      </w:r>
    </w:p>
    <w:p>
      <w:pPr>
        <w:pStyle w:val="Normal"/>
        <w:ind w:firstLineChars="200" w:startChars="0" w:start="0" w:endChars="0" w:end="0"/>
        <w:jc w:val="start"/>
        <w:rPr>
          <w:rFonts w:ascii="楷体" w:hAnsi="楷体" w:eastAsia="楷体" w:cs="楷体" w:hint="eastAsia"/>
          <w:szCs w:val="32"/>
        </w:rPr>
      </w:pPr>
      <w:r>
        <w:rPr>
          <w:rFonts w:ascii="楷体" w:hAnsi="楷体" w:cs="楷体" w:hint="eastAsia" w:eastAsia="楷体"/>
          <w:szCs w:val="32"/>
        </w:rPr>
        <w:t>第四章 附    则</w:t>
      </w:r>
    </w:p>
    <w:p>
      <w:pPr>
        <w:pStyle w:val="Normal"/>
        <w:ind w:firstLineChars="200" w:startChars="0" w:start="0" w:endChars="0" w:end="0"/>
        <w:jc w:val="start"/>
        <w:rPr>
          <w:rFonts w:ascii="楷体" w:hAnsi="楷体" w:eastAsia="楷体" w:cs="楷体" w:hint="eastAsia"/>
          <w:szCs w:val="32"/>
        </w:rPr>
      </w:pPr>
      <w:r>
        <w:rPr>
          <w:rFonts w:eastAsia="楷体" w:cs="楷体" w:hint="eastAsia" w:ascii="楷体" w:hAnsi="楷体"/>
          <w:szCs w:val="32"/>
        </w:rPr>
      </w:r>
    </w:p>
    <w:p>
      <w:pPr>
        <w:pStyle w:val="Normal"/>
        <w:jc w:val="start"/>
        <w:rPr>
          <w:rFonts w:ascii="楷体" w:hAnsi="楷体" w:eastAsia="楷体" w:cs="楷体" w:hint="eastAsia"/>
          <w:szCs w:val="32"/>
        </w:rPr>
      </w:pPr>
      <w:r>
        <w:rPr>
          <w:rFonts w:eastAsia="楷体" w:cs="楷体" w:hint="eastAsia" w:ascii="楷体" w:hAnsi="楷体"/>
          <w:szCs w:val="32"/>
        </w:rPr>
      </w:r>
    </w:p>
    <w:p>
      <w:pPr>
        <w:pStyle w:val="Style15"/>
        <w:ind w:firstLineChars="200" w:startChars="0" w:start="0" w:endChars="0" w:end="0"/>
        <w:jc w:val="center"/>
        <w:rPr>
          <w:rFonts w:ascii="黑体;SimHei" w:hAnsi="黑体;SimHei" w:eastAsia="黑体;SimHei" w:cs="黑体;SimHei" w:hint="eastAsia"/>
          <w:szCs w:val="32"/>
        </w:rPr>
      </w:pPr>
      <w:r>
        <w:rPr>
          <w:rFonts w:ascii="黑体;SimHei" w:hAnsi="黑体;SimHei" w:cs="黑体;SimHei" w:hint="eastAsia" w:eastAsia="黑体;SimHei"/>
          <w:szCs w:val="32"/>
        </w:rPr>
        <w:t>第一章  总则</w:t>
      </w:r>
    </w:p>
    <w:p>
      <w:pPr>
        <w:pStyle w:val="Style15"/>
        <w:ind w:firstLineChars="200" w:startChars="0" w:start="0" w:endChars="0" w:end="0"/>
        <w:rPr>
          <w:rFonts w:ascii="仿宋_GB2312" w:hAnsi="仿宋_GB2312" w:eastAsia="仿宋_GB2312" w:cs="宋体;SimSun" w:hint="eastAsia"/>
          <w:szCs w:val="32"/>
        </w:rPr>
      </w:pPr>
      <w:r>
        <w:rPr>
          <w:rFonts w:eastAsia="仿宋_GB2312" w:cs="宋体;SimSun" w:hint="eastAsia" w:ascii="仿宋_GB2312" w:hAnsi="仿宋_GB2312"/>
          <w:szCs w:val="32"/>
        </w:rPr>
      </w:r>
    </w:p>
    <w:p>
      <w:pPr>
        <w:pStyle w:val="Style15"/>
        <w:ind w:firstLineChars="200" w:startChars="0" w:start="0" w:endChars="0" w:end="0"/>
        <w:rPr/>
      </w:pPr>
      <w:r>
        <w:rPr>
          <w:rFonts w:ascii="黑体;SimHei" w:hAnsi="黑体;SimHei" w:cs="黑体;SimHei" w:hint="eastAsia" w:eastAsia="黑体;SimHei"/>
          <w:szCs w:val="32"/>
        </w:rPr>
        <w:t xml:space="preserve">第一条  </w:t>
      </w:r>
      <w:r>
        <w:rPr>
          <w:rFonts w:ascii="仿宋_GB2312" w:hAnsi="仿宋_GB2312" w:cs="宋体;SimSun" w:hint="eastAsia" w:eastAsia="仿宋_GB2312"/>
          <w:szCs w:val="32"/>
        </w:rPr>
        <w:t>为促进体育市场繁荣和健康发展，加强体育市场管理，规范体育经营活动，保护经营者和消费者的合法权益，增进人民身心健康，根据《中华人民共和国体育法》等有关法律、法规，结合本市实际，制定本条例。</w:t>
      </w:r>
    </w:p>
    <w:p>
      <w:pPr>
        <w:pStyle w:val="Style15"/>
        <w:ind w:firstLineChars="200" w:startChars="0" w:start="0" w:endChars="0" w:end="0"/>
        <w:rPr/>
      </w:pPr>
      <w:r>
        <w:rPr>
          <w:rFonts w:ascii="黑体;SimHei" w:hAnsi="黑体;SimHei" w:cs="黑体;SimHei" w:hint="eastAsia" w:eastAsia="黑体;SimHei"/>
          <w:szCs w:val="32"/>
        </w:rPr>
        <w:t xml:space="preserve">第二条  </w:t>
      </w:r>
      <w:r>
        <w:rPr>
          <w:rFonts w:ascii="仿宋_GB2312" w:hAnsi="仿宋_GB2312" w:cs="宋体;SimSun" w:hint="eastAsia" w:eastAsia="仿宋_GB2312"/>
          <w:szCs w:val="32"/>
        </w:rPr>
        <w:t>本条例适用于本行政区域内利用体育项目或者体育经营场所从事体育经营活动及其管理的行为。</w:t>
      </w:r>
    </w:p>
    <w:p>
      <w:pPr>
        <w:pStyle w:val="Style15"/>
        <w:ind w:firstLineChars="200" w:startChars="0" w:start="0" w:endChars="0" w:end="0"/>
        <w:rPr/>
      </w:pPr>
      <w:r>
        <w:rPr>
          <w:rFonts w:ascii="黑体;SimHei" w:hAnsi="黑体;SimHei" w:cs="黑体;SimHei" w:hint="eastAsia" w:eastAsia="黑体;SimHei"/>
          <w:szCs w:val="32"/>
        </w:rPr>
        <w:t xml:space="preserve">第三条  </w:t>
      </w:r>
      <w:r>
        <w:rPr>
          <w:rFonts w:ascii="仿宋_GB2312" w:hAnsi="仿宋_GB2312" w:cs="宋体;SimSun" w:hint="eastAsia" w:eastAsia="仿宋_GB2312"/>
          <w:szCs w:val="32"/>
        </w:rPr>
        <w:t>本条例所称体育项目是指国家、省体育行政部门批准公布的体育运动项目。</w:t>
      </w:r>
    </w:p>
    <w:p>
      <w:pPr>
        <w:pStyle w:val="Style15"/>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本条例所称体育经营场所是指用于开展体育经营活动的场地、设施。</w:t>
      </w:r>
    </w:p>
    <w:p>
      <w:pPr>
        <w:pStyle w:val="Style15"/>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本条例所称体育经营活动是指以营利为目的的下列经营行为：</w:t>
      </w:r>
    </w:p>
    <w:p>
      <w:pPr>
        <w:pStyle w:val="Style15"/>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（一）体育竞赛；</w:t>
      </w:r>
    </w:p>
    <w:p>
      <w:pPr>
        <w:pStyle w:val="Style15"/>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（二）体育表演、体育健身娱乐、体育康复；</w:t>
      </w:r>
    </w:p>
    <w:p>
      <w:pPr>
        <w:pStyle w:val="Style15"/>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（三）体育教育、体育技术培训；</w:t>
      </w:r>
    </w:p>
    <w:p>
      <w:pPr>
        <w:pStyle w:val="Style15"/>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（四）体育信息咨询、体育广告、体育转播；</w:t>
      </w:r>
    </w:p>
    <w:p>
      <w:pPr>
        <w:pStyle w:val="Style15"/>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（五）使用体育组织名义、体育专用标志等体育无形资产进行的经营活动；</w:t>
      </w:r>
    </w:p>
    <w:p>
      <w:pPr>
        <w:pStyle w:val="Style15"/>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（六）其他体育经营活动。</w:t>
      </w:r>
    </w:p>
    <w:p>
      <w:pPr>
        <w:pStyle w:val="Style15"/>
        <w:ind w:firstLineChars="200" w:startChars="0" w:start="0" w:endChars="0" w:end="0"/>
        <w:rPr/>
      </w:pPr>
      <w:r>
        <w:rPr>
          <w:rFonts w:ascii="黑体;SimHei" w:hAnsi="黑体;SimHei" w:cs="黑体;SimHei" w:hint="eastAsia" w:eastAsia="黑体;SimHei"/>
          <w:szCs w:val="32"/>
        </w:rPr>
        <w:t xml:space="preserve">第四条  </w:t>
      </w:r>
      <w:r>
        <w:rPr>
          <w:rFonts w:ascii="仿宋_GB2312" w:hAnsi="仿宋_GB2312" w:cs="宋体;SimSun" w:hint="eastAsia" w:eastAsia="仿宋_GB2312"/>
          <w:szCs w:val="32"/>
        </w:rPr>
        <w:t>市、县（区）人民政府体育行政部门是体育市场的主管部门，按照分级管理的原则，负责本行政区域内体育市场的监督、管理。其职责是：</w:t>
      </w:r>
    </w:p>
    <w:p>
      <w:pPr>
        <w:pStyle w:val="Style15"/>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（一）宣传、贯彻有关体育市场管理的法律、法规；</w:t>
      </w:r>
    </w:p>
    <w:p>
      <w:pPr>
        <w:pStyle w:val="Style15"/>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（二）建立健全体育市场管理的制度和规范；</w:t>
      </w:r>
    </w:p>
    <w:p>
      <w:pPr>
        <w:pStyle w:val="Style15"/>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（三）按照法律、法规规定的管理权限核发专业技术资格证书；</w:t>
      </w:r>
    </w:p>
    <w:p>
      <w:pPr>
        <w:pStyle w:val="Style15"/>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（四）对经营者和专业技术人员进行培训、考核和资格认证；</w:t>
      </w:r>
    </w:p>
    <w:p>
      <w:pPr>
        <w:pStyle w:val="Style15"/>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（五）监督、稽查体育经营活动，查处违法、违规行为；</w:t>
      </w:r>
    </w:p>
    <w:p>
      <w:pPr>
        <w:pStyle w:val="Style15"/>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（六）管理其他应当由体育行政部门管理的事项。</w:t>
      </w:r>
    </w:p>
    <w:p>
      <w:pPr>
        <w:pStyle w:val="Style15"/>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工商、公安、物价、卫生、技术监督等有关部门应当按照各自的职责，共同做好体育市场的管理工作。</w:t>
      </w:r>
    </w:p>
    <w:p>
      <w:pPr>
        <w:pStyle w:val="Style15"/>
        <w:ind w:firstLineChars="200" w:startChars="0" w:start="0" w:endChars="0" w:end="0"/>
        <w:rPr/>
      </w:pPr>
      <w:r>
        <w:rPr>
          <w:rFonts w:ascii="黑体;SimHei" w:hAnsi="黑体;SimHei" w:cs="黑体;SimHei" w:hint="eastAsia" w:eastAsia="黑体;SimHei"/>
          <w:szCs w:val="32"/>
        </w:rPr>
        <w:t xml:space="preserve">第五条  </w:t>
      </w:r>
      <w:r>
        <w:rPr>
          <w:rFonts w:ascii="仿宋_GB2312" w:hAnsi="仿宋_GB2312" w:cs="宋体;SimSun" w:hint="eastAsia" w:eastAsia="仿宋_GB2312"/>
          <w:szCs w:val="32"/>
        </w:rPr>
        <w:t>体育市场的管理坚持公开、公平、公正的原则，实行管理与经营相分离。</w:t>
      </w:r>
    </w:p>
    <w:p>
      <w:pPr>
        <w:pStyle w:val="Style15"/>
        <w:ind w:firstLineChars="200" w:startChars="0" w:start="0" w:endChars="0" w:end="0"/>
        <w:rPr/>
      </w:pPr>
      <w:r>
        <w:rPr>
          <w:rFonts w:ascii="黑体;SimHei" w:hAnsi="黑体;SimHei" w:cs="黑体;SimHei" w:hint="eastAsia" w:eastAsia="黑体;SimHei"/>
          <w:szCs w:val="32"/>
        </w:rPr>
        <w:t xml:space="preserve">第六条  </w:t>
      </w:r>
      <w:r>
        <w:rPr>
          <w:rFonts w:ascii="仿宋_GB2312" w:hAnsi="仿宋_GB2312" w:cs="宋体;SimSun" w:hint="eastAsia" w:eastAsia="仿宋_GB2312"/>
          <w:szCs w:val="32"/>
        </w:rPr>
        <w:t>体育市场实行稽查制度。稽查办法由市人民政府制定。</w:t>
      </w:r>
    </w:p>
    <w:p>
      <w:pPr>
        <w:pStyle w:val="Style15"/>
        <w:ind w:firstLineChars="200" w:startChars="0" w:start="0" w:endChars="0" w:end="0"/>
        <w:rPr/>
      </w:pPr>
      <w:r>
        <w:rPr>
          <w:rFonts w:ascii="黑体;SimHei" w:hAnsi="黑体;SimHei" w:cs="黑体;SimHei" w:hint="eastAsia" w:eastAsia="黑体;SimHei"/>
          <w:szCs w:val="32"/>
        </w:rPr>
        <w:t xml:space="preserve">第七条  </w:t>
      </w:r>
      <w:r>
        <w:rPr>
          <w:rFonts w:ascii="仿宋_GB2312" w:hAnsi="仿宋_GB2312" w:cs="宋体;SimSun" w:hint="eastAsia" w:eastAsia="仿宋_GB2312"/>
          <w:szCs w:val="32"/>
        </w:rPr>
        <w:t>各级人民政府应当鼓励、支持公民、法人和其他组织从事健康有益的体育市场经营活动；鼓励、支持经营者为落实全民健身计划和培育优秀体育人才服务。</w:t>
      </w:r>
    </w:p>
    <w:p>
      <w:pPr>
        <w:pStyle w:val="Style15"/>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对参与实施全民健身计划和培养优秀运动员工作做出突出贡献的经营者，各级人民政府应当给予表彰和奖励。</w:t>
      </w:r>
    </w:p>
    <w:p>
      <w:pPr>
        <w:pStyle w:val="Style15"/>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体育市场管理所需经费纳入同级财政预算。</w:t>
      </w:r>
    </w:p>
    <w:p>
      <w:pPr>
        <w:pStyle w:val="Style15"/>
        <w:ind w:firstLineChars="200" w:startChars="0" w:start="0" w:endChars="0" w:end="0"/>
        <w:rPr>
          <w:rFonts w:ascii="仿宋_GB2312" w:hAnsi="仿宋_GB2312" w:eastAsia="仿宋_GB2312" w:cs="宋体;SimSun" w:hint="eastAsia"/>
          <w:szCs w:val="32"/>
        </w:rPr>
      </w:pPr>
      <w:r>
        <w:rPr>
          <w:rFonts w:eastAsia="仿宋_GB2312" w:cs="宋体;SimSun" w:hint="eastAsia" w:ascii="仿宋_GB2312" w:hAnsi="仿宋_GB2312"/>
          <w:szCs w:val="32"/>
        </w:rPr>
      </w:r>
    </w:p>
    <w:p>
      <w:pPr>
        <w:pStyle w:val="Style15"/>
        <w:ind w:firstLineChars="200" w:startChars="0" w:start="0" w:endChars="0" w:end="0"/>
        <w:jc w:val="center"/>
        <w:rPr>
          <w:rFonts w:ascii="黑体;SimHei" w:hAnsi="黑体;SimHei" w:eastAsia="黑体;SimHei" w:cs="黑体;SimHei" w:hint="eastAsia"/>
          <w:szCs w:val="32"/>
        </w:rPr>
      </w:pPr>
      <w:r>
        <w:rPr>
          <w:rFonts w:ascii="黑体;SimHei" w:hAnsi="黑体;SimHei" w:cs="黑体;SimHei" w:hint="eastAsia" w:eastAsia="黑体;SimHei"/>
          <w:szCs w:val="32"/>
        </w:rPr>
        <w:t>第二章  经营与管理</w:t>
      </w:r>
    </w:p>
    <w:p>
      <w:pPr>
        <w:pStyle w:val="Style15"/>
        <w:ind w:firstLineChars="200" w:startChars="0" w:start="0" w:endChars="0" w:end="0"/>
        <w:rPr>
          <w:rFonts w:ascii="黑体;SimHei" w:hAnsi="黑体;SimHei" w:eastAsia="黑体;SimHei" w:cs="宋体;SimSun" w:hint="eastAsia"/>
          <w:szCs w:val="32"/>
        </w:rPr>
      </w:pPr>
      <w:r>
        <w:rPr>
          <w:rFonts w:eastAsia="黑体;SimHei" w:cs="宋体;SimSun" w:hint="eastAsia" w:ascii="黑体;SimHei" w:hAnsi="黑体;SimHei"/>
          <w:szCs w:val="32"/>
        </w:rPr>
      </w:r>
    </w:p>
    <w:p>
      <w:pPr>
        <w:pStyle w:val="Style15"/>
        <w:ind w:firstLineChars="200" w:startChars="0" w:start="0" w:endChars="0" w:end="0"/>
        <w:rPr/>
      </w:pPr>
      <w:r>
        <w:rPr>
          <w:rFonts w:ascii="黑体;SimHei" w:hAnsi="黑体;SimHei" w:cs="黑体;SimHei" w:hint="eastAsia" w:eastAsia="黑体;SimHei"/>
          <w:szCs w:val="32"/>
        </w:rPr>
        <w:t xml:space="preserve">第八条  </w:t>
      </w:r>
      <w:r>
        <w:rPr>
          <w:rFonts w:ascii="仿宋_GB2312" w:hAnsi="仿宋_GB2312" w:cs="宋体;SimSun" w:hint="eastAsia" w:eastAsia="仿宋_GB2312"/>
          <w:szCs w:val="32"/>
        </w:rPr>
        <w:t>经营者从事体育经营活动，应当依法领取营业执照并具备与体育经营项目相适应的下列条件：</w:t>
      </w:r>
    </w:p>
    <w:p>
      <w:pPr>
        <w:pStyle w:val="Style15"/>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（一） 有与经营项目相适应的体育活动场所；</w:t>
      </w:r>
    </w:p>
    <w:p>
      <w:pPr>
        <w:pStyle w:val="Style15"/>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（二） 有符合标准的体育器械、设备；</w:t>
      </w:r>
    </w:p>
    <w:p>
      <w:pPr>
        <w:pStyle w:val="Style15"/>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（三） 有符合要求的治安、消防、卫生、环保等安全保障条件和措施；</w:t>
      </w:r>
    </w:p>
    <w:p>
      <w:pPr>
        <w:pStyle w:val="Style15"/>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（四） 有按照规定必须配备的体育专业技术人员；</w:t>
      </w:r>
    </w:p>
    <w:p>
      <w:pPr>
        <w:pStyle w:val="Style15"/>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（五） 法律、法规规定的其他条件。</w:t>
      </w:r>
    </w:p>
    <w:p>
      <w:pPr>
        <w:pStyle w:val="Style15"/>
        <w:ind w:firstLineChars="200" w:startChars="0" w:start="0" w:endChars="0" w:end="0"/>
        <w:rPr/>
      </w:pPr>
      <w:r>
        <w:rPr>
          <w:rFonts w:ascii="黑体;SimHei" w:hAnsi="黑体;SimHei" w:cs="黑体;SimHei" w:hint="eastAsia" w:eastAsia="黑体;SimHei"/>
          <w:szCs w:val="32"/>
        </w:rPr>
        <w:t xml:space="preserve">第九条  </w:t>
      </w:r>
      <w:r>
        <w:rPr>
          <w:rFonts w:ascii="仿宋_GB2312" w:hAnsi="仿宋_GB2312" w:cs="宋体;SimSun" w:hint="eastAsia" w:eastAsia="仿宋_GB2312"/>
          <w:szCs w:val="32"/>
        </w:rPr>
        <w:t>企业、工商户经营高危险性体育项目的，应当在工商行政管理部门依法办理相关登记手续后，向县级以上体育主管部门申请行政许可，并依法接受体育主管部门的监督检查。</w:t>
      </w:r>
    </w:p>
    <w:p>
      <w:pPr>
        <w:pStyle w:val="Style15"/>
        <w:ind w:firstLineChars="200" w:startChars="0" w:start="0" w:endChars="0" w:end="0"/>
        <w:rPr/>
      </w:pPr>
      <w:r>
        <w:rPr>
          <w:rFonts w:ascii="黑体;SimHei" w:hAnsi="黑体;SimHei" w:cs="黑体;SimHei" w:hint="eastAsia" w:eastAsia="黑体;SimHei"/>
          <w:szCs w:val="32"/>
        </w:rPr>
        <w:t xml:space="preserve">第十条  </w:t>
      </w:r>
      <w:r>
        <w:rPr>
          <w:rFonts w:ascii="仿宋_GB2312" w:hAnsi="仿宋_GB2312" w:cs="宋体;SimSun" w:hint="eastAsia" w:eastAsia="仿宋_GB2312"/>
          <w:szCs w:val="32"/>
        </w:rPr>
        <w:t>经营者应当建立健全内部经营管理制度，加强对从业人员的管理，不得聘用未取得专业技术资格证书的人员从事体育技能培训、指导、裁判、安全救护等工作。</w:t>
      </w:r>
    </w:p>
    <w:p>
      <w:pPr>
        <w:pStyle w:val="Style15"/>
        <w:ind w:firstLineChars="200" w:startChars="0" w:start="0" w:endChars="0" w:end="0"/>
        <w:rPr/>
      </w:pPr>
      <w:r>
        <w:rPr>
          <w:rFonts w:ascii="黑体;SimHei" w:hAnsi="黑体;SimHei" w:cs="黑体;SimHei" w:hint="eastAsia" w:eastAsia="黑体;SimHei"/>
          <w:szCs w:val="32"/>
        </w:rPr>
        <w:t xml:space="preserve">第十一条  </w:t>
      </w:r>
      <w:r>
        <w:rPr>
          <w:rFonts w:ascii="仿宋_GB2312" w:hAnsi="仿宋_GB2312" w:cs="宋体;SimSun" w:hint="eastAsia" w:eastAsia="仿宋_GB2312"/>
          <w:szCs w:val="32"/>
        </w:rPr>
        <w:t>体育专业技术人员资格证书不得伪造、涂改、出租、出借、买卖。</w:t>
      </w:r>
    </w:p>
    <w:p>
      <w:pPr>
        <w:pStyle w:val="Style15"/>
        <w:ind w:firstLineChars="200" w:startChars="0" w:start="0" w:endChars="0" w:end="0"/>
        <w:rPr/>
      </w:pPr>
      <w:r>
        <w:rPr>
          <w:rFonts w:ascii="黑体;SimHei" w:hAnsi="黑体;SimHei" w:cs="黑体;SimHei" w:hint="eastAsia" w:eastAsia="黑体;SimHei"/>
          <w:szCs w:val="32"/>
        </w:rPr>
        <w:t xml:space="preserve">第十二条  </w:t>
      </w:r>
      <w:r>
        <w:rPr>
          <w:rFonts w:ascii="仿宋_GB2312" w:hAnsi="仿宋_GB2312" w:cs="宋体;SimSun" w:hint="eastAsia" w:eastAsia="仿宋_GB2312"/>
          <w:szCs w:val="32"/>
        </w:rPr>
        <w:t>经营者对所从事的体育经营项目必须按照价格管理规定实行明码标价，注明收费项目和标准。</w:t>
      </w:r>
    </w:p>
    <w:p>
      <w:pPr>
        <w:pStyle w:val="Style15"/>
        <w:ind w:firstLineChars="200" w:startChars="0" w:start="0" w:endChars="0" w:end="0"/>
        <w:rPr/>
      </w:pPr>
      <w:r>
        <w:rPr>
          <w:rFonts w:ascii="黑体;SimHei" w:hAnsi="黑体;SimHei" w:cs="黑体;SimHei" w:hint="eastAsia" w:eastAsia="黑体;SimHei"/>
          <w:szCs w:val="32"/>
        </w:rPr>
        <w:t xml:space="preserve">第十三条  </w:t>
      </w:r>
      <w:r>
        <w:rPr>
          <w:rFonts w:ascii="仿宋_GB2312" w:hAnsi="仿宋_GB2312" w:cs="宋体;SimSun" w:hint="eastAsia" w:eastAsia="仿宋_GB2312"/>
          <w:szCs w:val="32"/>
        </w:rPr>
        <w:t>经营者应当做好体育场地、设施的维护保养工作，保证安全、卫生和正常使用。</w:t>
      </w:r>
    </w:p>
    <w:p>
      <w:pPr>
        <w:pStyle w:val="Style15"/>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经营者对可能危及消费者人身安全的体育经营项目，应当就其安全要求、设施的使用做出说明，设立醒目的警示标志，并采取有效措施防止危害发生。</w:t>
      </w:r>
    </w:p>
    <w:p>
      <w:pPr>
        <w:pStyle w:val="Style15"/>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经营场所容纳的人员不得超过核定人数。</w:t>
      </w:r>
    </w:p>
    <w:p>
      <w:pPr>
        <w:pStyle w:val="Style15"/>
        <w:ind w:firstLineChars="200" w:startChars="0" w:start="0" w:endChars="0" w:end="0"/>
        <w:rPr/>
      </w:pPr>
      <w:r>
        <w:rPr>
          <w:rFonts w:ascii="黑体;SimHei" w:hAnsi="黑体;SimHei" w:cs="黑体;SimHei" w:hint="eastAsia" w:eastAsia="黑体;SimHei"/>
          <w:szCs w:val="32"/>
        </w:rPr>
        <w:t xml:space="preserve">第十四条  </w:t>
      </w:r>
      <w:r>
        <w:rPr>
          <w:rFonts w:ascii="仿宋_GB2312" w:hAnsi="仿宋_GB2312" w:cs="宋体;SimSun" w:hint="eastAsia" w:eastAsia="仿宋_GB2312"/>
          <w:szCs w:val="32"/>
        </w:rPr>
        <w:t>经营者对参加体育活动的未成年人、老年人、残疾人，应当给予指导和保护。</w:t>
      </w:r>
    </w:p>
    <w:p>
      <w:pPr>
        <w:pStyle w:val="Style15"/>
        <w:ind w:firstLineChars="200" w:startChars="0" w:start="0" w:endChars="0" w:end="0"/>
        <w:rPr/>
      </w:pPr>
      <w:r>
        <w:rPr>
          <w:rFonts w:ascii="黑体;SimHei" w:hAnsi="黑体;SimHei" w:cs="黑体;SimHei" w:hint="eastAsia" w:eastAsia="黑体;SimHei"/>
          <w:szCs w:val="32"/>
        </w:rPr>
        <w:t xml:space="preserve">第十五条  </w:t>
      </w:r>
      <w:r>
        <w:rPr>
          <w:rFonts w:ascii="仿宋_GB2312" w:hAnsi="仿宋_GB2312" w:cs="宋体;SimSun" w:hint="eastAsia" w:eastAsia="仿宋_GB2312"/>
          <w:szCs w:val="32"/>
        </w:rPr>
        <w:t>经营者应当执行事故处置及死亡报告制度。</w:t>
      </w:r>
    </w:p>
    <w:p>
      <w:pPr>
        <w:pStyle w:val="Style15"/>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发生事故的，经营者应当实施紧急救护。发生死亡事故的，经营者应当在</w:t>
      </w:r>
      <w:r>
        <w:rPr>
          <w:rFonts w:eastAsia="仿宋_GB2312" w:cs="宋体;SimSun" w:hint="eastAsia" w:ascii="仿宋_GB2312" w:hAnsi="仿宋_GB2312"/>
          <w:szCs w:val="32"/>
        </w:rPr>
        <w:t>1</w:t>
      </w:r>
      <w:r>
        <w:rPr>
          <w:rFonts w:ascii="仿宋_GB2312" w:hAnsi="仿宋_GB2312" w:cs="宋体;SimSun" w:hint="eastAsia" w:eastAsia="仿宋_GB2312"/>
          <w:szCs w:val="32"/>
        </w:rPr>
        <w:t>小时内报告所在地县（区）体育行政部门和公安机关，并做好事故处理工作。</w:t>
      </w:r>
    </w:p>
    <w:p>
      <w:pPr>
        <w:pStyle w:val="Style15"/>
        <w:ind w:firstLineChars="200" w:startChars="0" w:start="0" w:endChars="0" w:end="0"/>
        <w:rPr/>
      </w:pPr>
      <w:r>
        <w:rPr>
          <w:rFonts w:ascii="黑体;SimHei" w:hAnsi="黑体;SimHei" w:cs="黑体;SimHei" w:hint="eastAsia" w:eastAsia="黑体;SimHei"/>
          <w:szCs w:val="32"/>
        </w:rPr>
        <w:t xml:space="preserve">第十六条  </w:t>
      </w:r>
      <w:r>
        <w:rPr>
          <w:rFonts w:ascii="仿宋_GB2312" w:hAnsi="仿宋_GB2312" w:cs="宋体;SimSun" w:hint="eastAsia" w:eastAsia="仿宋_GB2312"/>
          <w:szCs w:val="32"/>
        </w:rPr>
        <w:t>经营者应当保障体育经营场所的良好秩序，制止不文明、不健康的行为。禁止利用体育经营活动进行赌博，从事封建迷信、色情或者其他违法活动。</w:t>
      </w:r>
    </w:p>
    <w:p>
      <w:pPr>
        <w:pStyle w:val="Style15"/>
        <w:ind w:firstLineChars="200" w:startChars="0" w:start="0" w:endChars="0" w:end="0"/>
        <w:rPr/>
      </w:pPr>
      <w:r>
        <w:rPr>
          <w:rFonts w:ascii="黑体;SimHei" w:hAnsi="黑体;SimHei" w:cs="黑体;SimHei" w:hint="eastAsia" w:eastAsia="黑体;SimHei"/>
          <w:szCs w:val="32"/>
        </w:rPr>
        <w:t xml:space="preserve">第十七条  </w:t>
      </w:r>
      <w:r>
        <w:rPr>
          <w:rFonts w:ascii="仿宋_GB2312" w:hAnsi="仿宋_GB2312" w:cs="宋体;SimSun" w:hint="eastAsia" w:eastAsia="仿宋_GB2312"/>
          <w:szCs w:val="32"/>
        </w:rPr>
        <w:t>消费者应当爱护体育经营场所及体育设施，遵守公共秩序，服从工作人员管理。</w:t>
      </w:r>
    </w:p>
    <w:p>
      <w:pPr>
        <w:pStyle w:val="Style15"/>
        <w:ind w:firstLineChars="200" w:startChars="0" w:start="0" w:endChars="0" w:end="0"/>
        <w:rPr/>
      </w:pPr>
      <w:r>
        <w:rPr>
          <w:rFonts w:ascii="黑体;SimHei" w:hAnsi="黑体;SimHei" w:cs="黑体;SimHei" w:hint="eastAsia" w:eastAsia="黑体;SimHei"/>
          <w:szCs w:val="32"/>
        </w:rPr>
        <w:t xml:space="preserve">第十八条  </w:t>
      </w:r>
      <w:r>
        <w:rPr>
          <w:rFonts w:ascii="仿宋_GB2312" w:hAnsi="仿宋_GB2312" w:cs="宋体;SimSun" w:hint="eastAsia" w:eastAsia="仿宋_GB2312"/>
          <w:szCs w:val="32"/>
        </w:rPr>
        <w:t>体育行政部门应当根据体育经营活动的需求，为经营者提供体育技术咨询、业务指导服务。</w:t>
      </w:r>
    </w:p>
    <w:p>
      <w:pPr>
        <w:pStyle w:val="Style15"/>
        <w:ind w:firstLineChars="200" w:startChars="0" w:start="0" w:endChars="0" w:end="0"/>
        <w:rPr/>
      </w:pPr>
      <w:r>
        <w:rPr>
          <w:rFonts w:ascii="黑体;SimHei" w:hAnsi="黑体;SimHei" w:cs="黑体;SimHei" w:hint="eastAsia" w:eastAsia="黑体;SimHei"/>
          <w:szCs w:val="32"/>
        </w:rPr>
        <w:t xml:space="preserve">第十九条  </w:t>
      </w:r>
      <w:r>
        <w:rPr>
          <w:rFonts w:ascii="仿宋_GB2312" w:hAnsi="仿宋_GB2312" w:cs="宋体;SimSun" w:hint="eastAsia" w:eastAsia="仿宋_GB2312"/>
          <w:szCs w:val="32"/>
        </w:rPr>
        <w:t>体育市场管理人员应当遵守下列规定：</w:t>
      </w:r>
    </w:p>
    <w:p>
      <w:pPr>
        <w:pStyle w:val="Style15"/>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（一）忠于职守，依法行政，秉公办事；</w:t>
      </w:r>
    </w:p>
    <w:p>
      <w:pPr>
        <w:pStyle w:val="Style15"/>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（二）不得利用职权收受、索取财物；</w:t>
      </w:r>
    </w:p>
    <w:p>
      <w:pPr>
        <w:pStyle w:val="Style15"/>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（三）不得干涉经营者的合法经营活动；</w:t>
      </w:r>
    </w:p>
    <w:p>
      <w:pPr>
        <w:pStyle w:val="Style15"/>
        <w:ind w:firstLineChars="200" w:startChars="0" w:start="0" w:endChars="0" w:end="0"/>
        <w:rPr>
          <w:rFonts w:ascii="仿宋_GB2312" w:hAnsi="仿宋_GB2312" w:eastAsia="仿宋_GB2312" w:cs="宋体;SimSun" w:hint="eastAsia"/>
          <w:szCs w:val="32"/>
        </w:rPr>
      </w:pPr>
      <w:r>
        <w:rPr>
          <w:rFonts w:ascii="仿宋_GB2312" w:hAnsi="仿宋_GB2312" w:cs="宋体;SimSun" w:hint="eastAsia" w:eastAsia="仿宋_GB2312"/>
          <w:szCs w:val="32"/>
        </w:rPr>
        <w:t>（四）不得从事体育经营活动。</w:t>
      </w:r>
    </w:p>
    <w:p>
      <w:pPr>
        <w:pStyle w:val="Style15"/>
        <w:ind w:firstLineChars="200" w:startChars="0" w:start="0" w:endChars="0" w:end="0"/>
        <w:rPr/>
      </w:pPr>
      <w:r>
        <w:rPr>
          <w:rFonts w:ascii="黑体;SimHei" w:hAnsi="黑体;SimHei" w:cs="黑体;SimHei" w:hint="eastAsia" w:eastAsia="黑体;SimHei"/>
          <w:szCs w:val="32"/>
        </w:rPr>
        <w:t xml:space="preserve">第二十条  </w:t>
      </w:r>
      <w:r>
        <w:rPr>
          <w:rFonts w:ascii="仿宋_GB2312" w:hAnsi="仿宋_GB2312" w:cs="宋体;SimSun" w:hint="eastAsia" w:eastAsia="仿宋_GB2312"/>
          <w:szCs w:val="32"/>
        </w:rPr>
        <w:t>体育行政部门应当设立并向社会公布举报电话；接到举报必须及时调查处理，并为举报者保密。</w:t>
      </w:r>
    </w:p>
    <w:p>
      <w:pPr>
        <w:pStyle w:val="Style15"/>
        <w:ind w:firstLineChars="200" w:startChars="0" w:start="0" w:endChars="0" w:end="0"/>
        <w:rPr>
          <w:rFonts w:ascii="仿宋_GB2312" w:hAnsi="仿宋_GB2312" w:eastAsia="仿宋_GB2312" w:cs="宋体;SimSun" w:hint="eastAsia"/>
          <w:szCs w:val="32"/>
        </w:rPr>
      </w:pPr>
      <w:r>
        <w:rPr>
          <w:rFonts w:eastAsia="仿宋_GB2312" w:cs="宋体;SimSun" w:hint="eastAsia" w:ascii="仿宋_GB2312" w:hAnsi="仿宋_GB2312"/>
          <w:szCs w:val="32"/>
        </w:rPr>
      </w:r>
    </w:p>
    <w:p>
      <w:pPr>
        <w:pStyle w:val="Style15"/>
        <w:ind w:firstLineChars="200" w:startChars="0" w:start="0" w:endChars="0" w:end="0"/>
        <w:jc w:val="center"/>
        <w:rPr>
          <w:rFonts w:ascii="黑体;SimHei" w:hAnsi="黑体;SimHei" w:eastAsia="黑体;SimHei" w:cs="黑体;SimHei" w:hint="eastAsia"/>
          <w:szCs w:val="32"/>
        </w:rPr>
      </w:pPr>
      <w:r>
        <w:rPr>
          <w:rFonts w:ascii="黑体;SimHei" w:hAnsi="黑体;SimHei" w:cs="黑体;SimHei" w:hint="eastAsia" w:eastAsia="黑体;SimHei"/>
          <w:szCs w:val="32"/>
        </w:rPr>
        <w:t>第三章  法律责任</w:t>
      </w:r>
    </w:p>
    <w:p>
      <w:pPr>
        <w:pStyle w:val="Style15"/>
        <w:ind w:firstLineChars="200" w:startChars="0" w:start="0" w:endChars="0" w:end="0"/>
        <w:rPr>
          <w:rFonts w:ascii="仿宋_GB2312" w:hAnsi="仿宋_GB2312" w:eastAsia="仿宋_GB2312" w:cs="宋体;SimSun" w:hint="eastAsia"/>
          <w:szCs w:val="32"/>
        </w:rPr>
      </w:pPr>
      <w:r>
        <w:rPr>
          <w:rFonts w:eastAsia="仿宋_GB2312" w:cs="宋体;SimSun" w:hint="eastAsia" w:ascii="仿宋_GB2312" w:hAnsi="仿宋_GB2312"/>
          <w:szCs w:val="32"/>
        </w:rPr>
      </w:r>
    </w:p>
    <w:p>
      <w:pPr>
        <w:pStyle w:val="Style15"/>
        <w:ind w:firstLineChars="200" w:startChars="0" w:start="0" w:endChars="0" w:end="0"/>
        <w:rPr/>
      </w:pPr>
      <w:r>
        <w:rPr>
          <w:rFonts w:ascii="黑体;SimHei" w:hAnsi="黑体;SimHei" w:cs="黑体;SimHei" w:hint="eastAsia" w:eastAsia="黑体;SimHei"/>
          <w:szCs w:val="32"/>
        </w:rPr>
        <w:t xml:space="preserve">第二十一条  </w:t>
      </w:r>
      <w:r>
        <w:rPr>
          <w:rFonts w:ascii="仿宋_GB2312" w:hAnsi="仿宋_GB2312" w:cs="宋体;SimSun" w:hint="eastAsia" w:eastAsia="仿宋_GB2312"/>
          <w:szCs w:val="32"/>
        </w:rPr>
        <w:t>违反本条例第八条至第十五条规定的，由体育行政部门责令限期改正。</w:t>
      </w:r>
    </w:p>
    <w:p>
      <w:pPr>
        <w:pStyle w:val="Style15"/>
        <w:ind w:firstLineChars="200" w:startChars="0" w:start="0" w:endChars="0" w:end="0"/>
        <w:rPr/>
      </w:pPr>
      <w:r>
        <w:rPr>
          <w:rFonts w:ascii="黑体;SimHei" w:hAnsi="黑体;SimHei" w:cs="黑体;SimHei" w:hint="eastAsia" w:eastAsia="黑体;SimHei"/>
          <w:szCs w:val="32"/>
        </w:rPr>
        <w:t xml:space="preserve">第二十二条  </w:t>
      </w:r>
      <w:r>
        <w:rPr>
          <w:rFonts w:ascii="仿宋_GB2312" w:hAnsi="仿宋_GB2312" w:cs="宋体;SimSun" w:hint="eastAsia" w:eastAsia="仿宋_GB2312"/>
          <w:szCs w:val="32"/>
        </w:rPr>
        <w:t>违反本条例，侵害消费者人身、财产权利的，应当依法承担民事责任。</w:t>
      </w:r>
    </w:p>
    <w:p>
      <w:pPr>
        <w:pStyle w:val="Style15"/>
        <w:ind w:firstLineChars="200" w:startChars="0" w:start="0" w:endChars="0" w:end="0"/>
        <w:rPr/>
      </w:pPr>
      <w:r>
        <w:rPr>
          <w:rFonts w:ascii="黑体;SimHei" w:hAnsi="黑体;SimHei" w:cs="黑体;SimHei" w:hint="eastAsia" w:eastAsia="黑体;SimHei"/>
          <w:szCs w:val="32"/>
        </w:rPr>
        <w:t xml:space="preserve">第二十三条  </w:t>
      </w:r>
      <w:r>
        <w:rPr>
          <w:rFonts w:ascii="仿宋_GB2312" w:hAnsi="仿宋_GB2312" w:cs="宋体;SimSun" w:hint="eastAsia" w:eastAsia="仿宋_GB2312"/>
          <w:szCs w:val="32"/>
        </w:rPr>
        <w:t>经营活动中，违反《中华人民共和国治安管理处罚法》的，由公安部门依法处罚；违反工商、物价、卫生、技术监督管理及其他有关规定的，分别由有关部门处罚；构成犯罪的，依法追究刑事责任。</w:t>
      </w:r>
    </w:p>
    <w:p>
      <w:pPr>
        <w:pStyle w:val="Style15"/>
        <w:ind w:firstLineChars="200" w:startChars="0" w:start="0" w:endChars="0" w:end="0"/>
        <w:rPr/>
      </w:pPr>
      <w:r>
        <w:rPr>
          <w:rFonts w:ascii="黑体;SimHei" w:hAnsi="黑体;SimHei" w:cs="黑体;SimHei" w:hint="eastAsia" w:eastAsia="黑体;SimHei"/>
          <w:szCs w:val="32"/>
        </w:rPr>
        <w:t xml:space="preserve">第二十四条  </w:t>
      </w:r>
      <w:r>
        <w:rPr>
          <w:rFonts w:ascii="仿宋_GB2312" w:hAnsi="仿宋_GB2312" w:cs="宋体;SimSun" w:hint="eastAsia" w:eastAsia="仿宋_GB2312"/>
          <w:szCs w:val="32"/>
        </w:rPr>
        <w:t>体育行政部门及其工作人员在体育市场管理工作中玩忽职守，滥用职权，徇私舞弊的，由其上级主管部门或者工作人员所在单位给予行政处分；造成经济损失的，依法承担赔偿责任；构成犯罪的，依法追究刑事责任。</w:t>
      </w:r>
    </w:p>
    <w:p>
      <w:pPr>
        <w:pStyle w:val="Style15"/>
        <w:ind w:firstLineChars="200" w:startChars="0" w:start="0" w:endChars="0" w:end="0"/>
        <w:rPr>
          <w:rFonts w:ascii="仿宋_GB2312" w:hAnsi="仿宋_GB2312" w:eastAsia="仿宋_GB2312" w:cs="宋体;SimSun" w:hint="eastAsia"/>
          <w:szCs w:val="32"/>
        </w:rPr>
      </w:pPr>
      <w:r>
        <w:rPr>
          <w:rFonts w:eastAsia="仿宋_GB2312" w:cs="宋体;SimSun" w:hint="eastAsia" w:ascii="仿宋_GB2312" w:hAnsi="仿宋_GB2312"/>
          <w:szCs w:val="32"/>
        </w:rPr>
      </w:r>
    </w:p>
    <w:p>
      <w:pPr>
        <w:pStyle w:val="Style15"/>
        <w:numPr>
          <w:ilvl w:val="0"/>
          <w:numId w:val="1"/>
        </w:numPr>
        <w:ind w:firstLineChars="200" w:startChars="0" w:start="0" w:endChars="0" w:end="0"/>
        <w:jc w:val="center"/>
        <w:rPr>
          <w:rFonts w:ascii="黑体;SimHei" w:hAnsi="黑体;SimHei" w:eastAsia="黑体;SimHei" w:cs="黑体;SimHei" w:hint="eastAsia"/>
          <w:szCs w:val="32"/>
        </w:rPr>
      </w:pPr>
      <w:r>
        <w:rPr>
          <w:rFonts w:eastAsia="黑体;SimHei" w:cs="黑体;SimHei" w:hint="eastAsia" w:ascii="黑体;SimHei" w:hAnsi="黑体;SimHei"/>
          <w:szCs w:val="32"/>
        </w:rPr>
        <w:t xml:space="preserve"> </w:t>
      </w:r>
      <w:r>
        <w:rPr>
          <w:rFonts w:ascii="黑体;SimHei" w:hAnsi="黑体;SimHei" w:cs="黑体;SimHei" w:hint="eastAsia" w:eastAsia="黑体;SimHei"/>
          <w:szCs w:val="32"/>
        </w:rPr>
        <w:t>附则</w:t>
      </w:r>
    </w:p>
    <w:p>
      <w:pPr>
        <w:pStyle w:val="Style15"/>
        <w:rPr>
          <w:rFonts w:ascii="黑体;SimHei" w:hAnsi="黑体;SimHei" w:eastAsia="黑体;SimHei" w:cs="黑体;SimHei" w:hint="eastAsia"/>
          <w:szCs w:val="32"/>
        </w:rPr>
      </w:pPr>
      <w:r>
        <w:rPr>
          <w:rFonts w:eastAsia="黑体;SimHei" w:cs="黑体;SimHei" w:hint="eastAsia" w:ascii="黑体;SimHei" w:hAnsi="黑体;SimHei"/>
          <w:szCs w:val="32"/>
        </w:rPr>
      </w:r>
    </w:p>
    <w:p>
      <w:pPr>
        <w:pStyle w:val="Style15"/>
        <w:ind w:firstLineChars="200" w:startChars="0" w:start="0" w:endChars="0" w:end="0"/>
        <w:rPr/>
      </w:pPr>
      <w:r>
        <w:rPr>
          <w:rFonts w:ascii="黑体;SimHei" w:hAnsi="黑体;SimHei" w:cs="黑体;SimHei" w:hint="eastAsia" w:eastAsia="黑体;SimHei"/>
          <w:szCs w:val="32"/>
        </w:rPr>
        <w:t xml:space="preserve">第二十五条  </w:t>
      </w:r>
      <w:r>
        <w:rPr>
          <w:rFonts w:ascii="仿宋_GB2312" w:hAnsi="仿宋_GB2312" w:cs="宋体;SimSun" w:hint="eastAsia" w:eastAsia="仿宋_GB2312"/>
          <w:szCs w:val="32"/>
        </w:rPr>
        <w:t>本条例自</w:t>
      </w:r>
      <w:r>
        <w:rPr>
          <w:rFonts w:eastAsia="仿宋_GB2312" w:cs="宋体;SimSun" w:hint="eastAsia" w:ascii="仿宋_GB2312" w:hAnsi="仿宋_GB2312"/>
          <w:szCs w:val="32"/>
        </w:rPr>
        <w:t>2004</w:t>
      </w:r>
      <w:r>
        <w:rPr>
          <w:rFonts w:ascii="仿宋_GB2312" w:hAnsi="仿宋_GB2312" w:cs="宋体;SimSun" w:hint="eastAsia" w:eastAsia="仿宋_GB2312"/>
          <w:szCs w:val="32"/>
        </w:rPr>
        <w:t>年</w:t>
      </w:r>
      <w:r>
        <w:rPr>
          <w:rFonts w:eastAsia="仿宋_GB2312" w:cs="宋体;SimSun" w:hint="eastAsia" w:ascii="仿宋_GB2312" w:hAnsi="仿宋_GB2312"/>
          <w:szCs w:val="32"/>
        </w:rPr>
        <w:t>4</w:t>
      </w:r>
      <w:r>
        <w:rPr>
          <w:rFonts w:ascii="仿宋_GB2312" w:hAnsi="仿宋_GB2312" w:cs="宋体;SimSun" w:hint="eastAsia" w:eastAsia="仿宋_GB2312"/>
          <w:szCs w:val="32"/>
        </w:rPr>
        <w:t>月</w:t>
      </w:r>
      <w:r>
        <w:rPr>
          <w:rFonts w:eastAsia="仿宋_GB2312" w:cs="宋体;SimSun" w:hint="eastAsia" w:ascii="仿宋_GB2312" w:hAnsi="仿宋_GB2312"/>
          <w:szCs w:val="32"/>
        </w:rPr>
        <w:t>1</w:t>
      </w:r>
      <w:r>
        <w:rPr>
          <w:rFonts w:ascii="仿宋_GB2312" w:hAnsi="仿宋_GB2312" w:cs="宋体;SimSun" w:hint="eastAsia" w:eastAsia="仿宋_GB2312"/>
          <w:szCs w:val="32"/>
        </w:rPr>
        <w:t>日起施行。</w:t>
      </w:r>
    </w:p>
    <w:sectPr>
      <w:footerReference w:type="default" r:id="rId2"/>
      <w:type w:val="nextPage"/>
      <w:pgSz w:w="12240" w:h="15840"/>
      <w:pgMar w:left="1587" w:right="1474" w:gutter="0" w:header="0" w:top="1928" w:footer="1417" w:bottom="1814"/>
      <w:pgNumType w:fmt="decimal"/>
      <w:formProt w:val="false"/>
      <w:textDirection w:val="lrTb"/>
      <w:docGrid w:type="linesAndChars" w:linePitch="46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宋体">
    <w:altName w:val="SimSun"/>
    <w:charset w:val="86"/>
    <w:family w:val="auto"/>
    <w:pitch w:val="variable"/>
  </w:font>
  <w:font w:name="Liberation Sans">
    <w:altName w:val="Arial"/>
    <w:charset w:val="01" w:characterSet="utf-8"/>
    <w:family w:val="swiss"/>
    <w:pitch w:val="variable"/>
  </w:font>
  <w:font w:name="仿宋_GB2312">
    <w:charset w:val="86"/>
    <w:family w:val="modern"/>
    <w:pitch w:val="default"/>
  </w:font>
  <w:font w:name="楷体">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7"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Footer"/>
                            <w:ind w:firstLineChars="0" w:firstLine="0" w:startChars="100" w:endChars="100"/>
                            <w:rP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6</w:t>
                          </w:r>
                          <w:r>
                            <w:rPr>
                              <w:rFonts w:cs="宋体;SimSun" w:hint="eastAsia" w:ascii="宋体;SimSun" w:hAnsi="宋体;SimSun"/>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ind w:firstLineChars="0" w:firstLine="0" w:startChars="100" w:endChars="100"/>
                      <w:rP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6</w:t>
                    </w:r>
                    <w:r>
                      <w:rPr>
                        <w:rFonts w:cs="宋体;SimSun" w:hint="eastAsia" w:ascii="宋体;SimSun" w:hAnsi="宋体;SimSun"/>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4"/>
      <w:numFmt w:val="chineseCountingThousand"/>
      <w:suff w:val="space"/>
      <w:lvlText w:val="第%1章"/>
      <w:lvlJc w:val="start"/>
      <w:pPr>
        <w:tabs>
          <w:tab w:val="num" w:pos="0"/>
        </w:tabs>
        <w:ind w:start="0" w:hanging="0"/>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Times New Roman"/>
      <w:color w:val="auto"/>
      <w:kern w:val="2"/>
      <w:sz w:val="32"/>
      <w:szCs w:val="22"/>
      <w:lang w:bidi="ar-SA" w:val="en-US" w:eastAsia="zh-CN"/>
    </w:rPr>
  </w:style>
  <w:style w:type="character" w:styleId="WW8Num1z0">
    <w:name w:val="WW8Num1z0"/>
    <w:qFormat/>
    <w:rPr>
      <w:rFonts w:hint="eastAsia"/>
    </w:rPr>
  </w:style>
  <w:style w:type="character" w:styleId="Style14">
    <w:name w:val="默认段落字体"/>
    <w:qFormat/>
    <w:rPr/>
  </w:style>
  <w:style w:type="character" w:styleId="Char">
    <w:name w:val="纯文本 Char"/>
    <w:qFormat/>
    <w:rPr>
      <w:rFonts w:ascii="宋体;SimSun" w:hAnsi="宋体;SimSun" w:eastAsia="宋体;SimSun" w:cs="Courier New"/>
      <w:szCs w:val="2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5">
    <w:name w:val="纯文本"/>
    <w:basedOn w:val="Normal"/>
    <w:qFormat/>
    <w:pPr/>
    <w:rPr>
      <w:rFonts w:ascii="宋体;SimSun" w:hAnsi="宋体;SimSun" w:eastAsia="宋体;SimSun" w:cs="Courier New"/>
      <w:szCs w:val="21"/>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2019-05-15T09:15:00Z</dcterms:created>
  <dc:creator>lijingyang</dc:creator>
  <dc:description/>
  <cp:keywords/>
  <dc:language>en-US</dc:language>
  <cp:lastModifiedBy>马勤</cp:lastModifiedBy>
  <dcterms:modified xsi:type="dcterms:W3CDTF">2019-06-28T14:40:00Z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2052-11.1.0.8597</vt:lpwstr>
  </property>
</Properties>
</file>