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false"/>
        <w:autoSpaceDE w:val="true"/>
        <w:bidi w:val="0"/>
        <w:snapToGrid w:val="false"/>
        <w:spacing w:lineRule="exact" w:line="570"/>
        <w:jc w:val="both"/>
        <w:textAlignment w:val="auto"/>
        <w:rPr>
          <w:rFonts w:eastAsia="仿宋_GB2312;仿宋" w:hint="eastAsia"/>
          <w:spacing w:val="0"/>
          <w:w w:val="100"/>
          <w:sz w:val="32"/>
          <w:szCs w:val="32"/>
        </w:rPr>
      </w:pPr>
      <w:r>
        <w:rPr>
          <w:rFonts w:eastAsia="仿宋_GB2312;仿宋" w:hint="eastAsia"/>
          <w:spacing w:val="0"/>
          <w:w w:val="100"/>
          <w:sz w:val="32"/>
          <w:szCs w:val="32"/>
        </w:rPr>
      </w:r>
    </w:p>
    <w:p>
      <w:pPr>
        <w:pStyle w:val="Normal"/>
        <w:keepNext w:val="false"/>
        <w:keepLines w:val="false"/>
        <w:pageBreakBefore w:val="false"/>
        <w:widowControl w:val="false"/>
        <w:kinsoku w:val="true"/>
        <w:overflowPunct w:val="false"/>
        <w:autoSpaceDE w:val="true"/>
        <w:bidi w:val="0"/>
        <w:snapToGrid w:val="false"/>
        <w:spacing w:lineRule="exact" w:line="570"/>
        <w:jc w:val="center"/>
        <w:textAlignment w:val="auto"/>
        <w:rPr>
          <w:rFonts w:ascii="宋体" w:hAnsi="宋体" w:eastAsia="宋体" w:cs="宋体" w:hint="eastAsia"/>
          <w:b/>
          <w:bCs/>
          <w:color w:val="000000"/>
          <w:spacing w:val="0"/>
          <w:w w:val="100"/>
          <w:sz w:val="44"/>
          <w:szCs w:val="44"/>
        </w:rPr>
      </w:pPr>
      <w:r>
        <w:rPr>
          <w:rFonts w:ascii="宋体" w:hAnsi="宋体" w:cs="宋体" w:hint="eastAsia"/>
          <w:b/>
          <w:bCs/>
          <w:color w:val="000000"/>
          <w:spacing w:val="0"/>
          <w:w w:val="100"/>
          <w:sz w:val="44"/>
          <w:szCs w:val="44"/>
        </w:rPr>
        <w:t>辽阳市人民代表大会常务委员会</w:t>
      </w:r>
    </w:p>
    <w:p>
      <w:pPr>
        <w:pStyle w:val="Normal"/>
        <w:keepNext w:val="false"/>
        <w:keepLines w:val="false"/>
        <w:pageBreakBefore w:val="false"/>
        <w:widowControl w:val="false"/>
        <w:kinsoku w:val="true"/>
        <w:overflowPunct w:val="false"/>
        <w:autoSpaceDE w:val="true"/>
        <w:bidi w:val="0"/>
        <w:snapToGrid w:val="false"/>
        <w:spacing w:lineRule="exact" w:line="570"/>
        <w:jc w:val="center"/>
        <w:textAlignment w:val="auto"/>
        <w:rPr>
          <w:rFonts w:ascii="宋体" w:hAnsi="宋体" w:eastAsia="宋体" w:cs="宋体" w:hint="eastAsia"/>
          <w:b/>
          <w:bCs/>
          <w:color w:val="000000"/>
          <w:spacing w:val="0"/>
          <w:w w:val="100"/>
          <w:sz w:val="44"/>
          <w:szCs w:val="44"/>
        </w:rPr>
      </w:pPr>
      <w:r>
        <w:rPr>
          <w:rFonts w:ascii="宋体" w:hAnsi="宋体" w:cs="宋体" w:hint="eastAsia"/>
          <w:b/>
          <w:bCs/>
          <w:color w:val="000000"/>
          <w:spacing w:val="0"/>
          <w:w w:val="100"/>
          <w:sz w:val="44"/>
          <w:szCs w:val="44"/>
        </w:rPr>
        <w:t>关于修改《辽阳市汤河水库饮用水水源保护</w:t>
      </w:r>
    </w:p>
    <w:p>
      <w:pPr>
        <w:pStyle w:val="Normal"/>
        <w:keepNext w:val="false"/>
        <w:keepLines w:val="false"/>
        <w:pageBreakBefore w:val="false"/>
        <w:widowControl w:val="false"/>
        <w:kinsoku w:val="true"/>
        <w:overflowPunct w:val="false"/>
        <w:autoSpaceDE w:val="true"/>
        <w:bidi w:val="0"/>
        <w:snapToGrid w:val="false"/>
        <w:spacing w:lineRule="exact" w:line="570"/>
        <w:jc w:val="center"/>
        <w:textAlignment w:val="auto"/>
        <w:rPr>
          <w:rFonts w:eastAsia="仿宋_GB2312;仿宋" w:hint="eastAsia"/>
          <w:spacing w:val="0"/>
          <w:w w:val="100"/>
          <w:sz w:val="32"/>
          <w:szCs w:val="32"/>
        </w:rPr>
      </w:pPr>
      <w:r>
        <w:rPr>
          <w:rFonts w:ascii="宋体" w:hAnsi="宋体" w:cs="宋体" w:hint="eastAsia"/>
          <w:b/>
          <w:bCs/>
          <w:color w:val="000000"/>
          <w:spacing w:val="0"/>
          <w:w w:val="100"/>
          <w:sz w:val="44"/>
          <w:szCs w:val="44"/>
        </w:rPr>
        <w:t>条例》的决定</w:t>
      </w:r>
      <w:r>
        <w:rPr>
          <w:rFonts w:hint="eastAsia" w:eastAsia="仿宋_GB2312;仿宋"/>
          <w:spacing w:val="0"/>
          <w:w w:val="100"/>
          <w:sz w:val="32"/>
          <w:szCs w:val="32"/>
        </w:rPr>
        <w:t xml:space="preserve"> </w:t>
      </w:r>
    </w:p>
    <w:p>
      <w:pPr>
        <w:pStyle w:val="Normal"/>
        <w:keepNext w:val="false"/>
        <w:keepLines w:val="false"/>
        <w:pageBreakBefore w:val="false"/>
        <w:widowControl w:val="false"/>
        <w:kinsoku w:val="true"/>
        <w:overflowPunct w:val="false"/>
        <w:autoSpaceDE w:val="true"/>
        <w:bidi w:val="0"/>
        <w:snapToGrid w:val="false"/>
        <w:spacing w:lineRule="exact" w:line="570"/>
        <w:ind w:firstLineChars="0" w:firstLine="0" w:startChars="200" w:endChars="200"/>
        <w:jc w:val="start"/>
        <w:textAlignment w:val="auto"/>
        <w:rPr>
          <w:rFonts w:ascii="Times New Roman" w:hAnsi="Times New Roman" w:eastAsia="楷体_GB2312;楷体" w:cs="Times New Roman"/>
          <w:spacing w:val="0"/>
          <w:w w:val="100"/>
          <w:sz w:val="32"/>
          <w:szCs w:val="32"/>
        </w:rPr>
      </w:pPr>
      <w:r>
        <w:rPr>
          <w:rFonts w:ascii="Times New Roman" w:hAnsi="Times New Roman" w:cs="Times New Roman" w:eastAsia="楷体_GB2312;楷体"/>
          <w:spacing w:val="0"/>
          <w:w w:val="100"/>
          <w:sz w:val="32"/>
          <w:szCs w:val="32"/>
        </w:rPr>
        <w:t>（</w:t>
      </w:r>
      <w:r>
        <w:rPr>
          <w:rFonts w:eastAsia="仿宋_GB2312;仿宋" w:cs="Times New Roman"/>
          <w:color w:val="000000"/>
          <w:spacing w:val="0"/>
          <w:w w:val="100"/>
          <w:sz w:val="32"/>
          <w:szCs w:val="32"/>
        </w:rPr>
        <w:t>2021</w:t>
      </w:r>
      <w:r>
        <w:rPr>
          <w:rFonts w:ascii="Times New Roman" w:hAnsi="Times New Roman" w:cs="Times New Roman" w:eastAsia="楷体_GB2312;楷体"/>
          <w:spacing w:val="0"/>
          <w:w w:val="100"/>
          <w:sz w:val="32"/>
          <w:szCs w:val="32"/>
        </w:rPr>
        <w:t>年</w:t>
      </w:r>
      <w:r>
        <w:rPr>
          <w:rFonts w:eastAsia="仿宋_GB2312;仿宋" w:cs="Times New Roman"/>
          <w:color w:val="000000"/>
          <w:spacing w:val="0"/>
          <w:w w:val="100"/>
          <w:sz w:val="32"/>
          <w:szCs w:val="32"/>
        </w:rPr>
        <w:t>10</w:t>
      </w:r>
      <w:r>
        <w:rPr>
          <w:rFonts w:ascii="Times New Roman" w:hAnsi="Times New Roman" w:cs="Times New Roman" w:eastAsia="楷体_GB2312;楷体"/>
          <w:spacing w:val="0"/>
          <w:w w:val="100"/>
          <w:sz w:val="32"/>
          <w:szCs w:val="32"/>
        </w:rPr>
        <w:t>月</w:t>
      </w:r>
      <w:r>
        <w:rPr>
          <w:rFonts w:eastAsia="仿宋_GB2312;仿宋" w:cs="Times New Roman"/>
          <w:color w:val="000000"/>
          <w:spacing w:val="0"/>
          <w:w w:val="100"/>
          <w:sz w:val="32"/>
          <w:szCs w:val="32"/>
        </w:rPr>
        <w:t>28</w:t>
      </w:r>
      <w:r>
        <w:rPr>
          <w:rFonts w:ascii="Times New Roman" w:hAnsi="Times New Roman" w:cs="Times New Roman" w:eastAsia="楷体_GB2312;楷体"/>
          <w:spacing w:val="0"/>
          <w:w w:val="100"/>
          <w:sz w:val="32"/>
          <w:szCs w:val="32"/>
        </w:rPr>
        <w:t xml:space="preserve">日辽阳市第十六届人民代表大会常务委员会第三十七次会议通过 </w:t>
      </w:r>
      <w:r>
        <w:rPr>
          <w:rFonts w:cs="Times New Roman" w:hint="eastAsia" w:eastAsia="楷体_GB2312;楷体"/>
          <w:spacing w:val="0"/>
          <w:w w:val="100"/>
          <w:sz w:val="32"/>
          <w:szCs w:val="32"/>
        </w:rPr>
        <w:t xml:space="preserve"> </w:t>
      </w:r>
      <w:r>
        <w:rPr>
          <w:rFonts w:eastAsia="楷体_GB2312;楷体" w:cs="Times New Roman"/>
          <w:spacing w:val="0"/>
          <w:w w:val="100"/>
          <w:sz w:val="32"/>
          <w:szCs w:val="32"/>
        </w:rPr>
        <w:t>2021</w:t>
      </w:r>
      <w:r>
        <w:rPr>
          <w:rFonts w:ascii="Times New Roman" w:hAnsi="Times New Roman" w:cs="Times New Roman" w:eastAsia="楷体_GB2312;楷体"/>
          <w:spacing w:val="0"/>
          <w:w w:val="100"/>
          <w:sz w:val="32"/>
          <w:szCs w:val="32"/>
        </w:rPr>
        <w:t>年</w:t>
      </w:r>
      <w:r>
        <w:rPr>
          <w:rFonts w:eastAsia="楷体_GB2312;楷体" w:cs="Times New Roman"/>
          <w:spacing w:val="0"/>
          <w:w w:val="100"/>
          <w:sz w:val="32"/>
          <w:szCs w:val="32"/>
        </w:rPr>
        <w:t>11</w:t>
      </w:r>
      <w:r>
        <w:rPr>
          <w:rFonts w:ascii="Times New Roman" w:hAnsi="Times New Roman" w:cs="Times New Roman" w:eastAsia="楷体_GB2312;楷体"/>
          <w:spacing w:val="0"/>
          <w:w w:val="100"/>
          <w:sz w:val="32"/>
          <w:szCs w:val="32"/>
        </w:rPr>
        <w:t>月</w:t>
      </w:r>
      <w:r>
        <w:rPr>
          <w:rFonts w:eastAsia="楷体_GB2312;楷体" w:cs="Times New Roman"/>
          <w:spacing w:val="0"/>
          <w:w w:val="100"/>
          <w:sz w:val="32"/>
          <w:szCs w:val="32"/>
        </w:rPr>
        <w:t>26</w:t>
      </w:r>
      <w:r>
        <w:rPr>
          <w:rFonts w:ascii="Times New Roman" w:hAnsi="Times New Roman" w:cs="Times New Roman" w:eastAsia="楷体_GB2312;楷体"/>
          <w:spacing w:val="0"/>
          <w:w w:val="100"/>
          <w:sz w:val="32"/>
          <w:szCs w:val="32"/>
        </w:rPr>
        <w:t>日辽宁省第十三届人民代表大会常务委员会第三十次会议批准）</w:t>
      </w:r>
    </w:p>
    <w:p>
      <w:pPr>
        <w:pStyle w:val="Normal"/>
        <w:keepNext w:val="false"/>
        <w:keepLines w:val="false"/>
        <w:pageBreakBefore w:val="false"/>
        <w:widowControl w:val="false"/>
        <w:kinsoku w:val="true"/>
        <w:overflowPunct w:val="false"/>
        <w:bidi w:val="0"/>
        <w:snapToGrid w:val="false"/>
        <w:spacing w:lineRule="exact" w:line="570"/>
        <w:ind w:firstLineChars="200" w:startChars="0" w:start="0" w:endChars="0" w:end="0"/>
        <w:jc w:val="both"/>
        <w:textAlignment w:val="auto"/>
        <w:rPr>
          <w:rFonts w:eastAsia="仿宋_GB2312;仿宋"/>
          <w:spacing w:val="0"/>
          <w:w w:val="100"/>
          <w:sz w:val="32"/>
          <w:szCs w:val="32"/>
        </w:rPr>
      </w:pPr>
      <w:r>
        <w:rPr>
          <w:rFonts w:eastAsia="仿宋_GB2312;仿宋" w:hint="eastAsia"/>
          <w:spacing w:val="0"/>
          <w:w w:val="100"/>
          <w:sz w:val="32"/>
          <w:szCs w:val="32"/>
        </w:rPr>
        <w:t xml:space="preserve"> </w:t>
      </w:r>
    </w:p>
    <w:p>
      <w:pPr>
        <w:pStyle w:val="Normal"/>
        <w:keepNext w:val="false"/>
        <w:keepLines w:val="false"/>
        <w:pageBreakBefore w:val="false"/>
        <w:widowControl w:val="false"/>
        <w:kinsoku w:val="true"/>
        <w:overflowPunct w:val="false"/>
        <w:bidi w:val="0"/>
        <w:snapToGrid w:val="false"/>
        <w:spacing w:lineRule="exact" w:line="570"/>
        <w:ind w:firstLineChars="200" w:startChars="0" w:start="0" w:endChars="0" w:end="0"/>
        <w:jc w:val="both"/>
        <w:textAlignment w:val="auto"/>
        <w:rPr>
          <w:rFonts w:eastAsia="仿宋_GB2312;仿宋" w:hint="eastAsia"/>
          <w:spacing w:val="0"/>
          <w:w w:val="100"/>
          <w:sz w:val="32"/>
          <w:szCs w:val="32"/>
        </w:rPr>
      </w:pPr>
      <w:r>
        <w:rPr>
          <w:rFonts w:ascii="仿宋_GB2312;仿宋" w:hAnsi="仿宋_GB2312;仿宋" w:hint="eastAsia" w:eastAsia="仿宋_GB2312;仿宋"/>
          <w:spacing w:val="0"/>
          <w:w w:val="100"/>
          <w:sz w:val="32"/>
          <w:szCs w:val="32"/>
        </w:rPr>
        <w:t>辽阳市第十六届人民代表大会常务委员会第三十七次会议决定对《辽阳市汤河水库饮用水水源保护条例》作如下修改：</w:t>
      </w:r>
    </w:p>
    <w:p>
      <w:pPr>
        <w:pStyle w:val="Style13"/>
        <w:keepNext w:val="false"/>
        <w:keepLines w:val="false"/>
        <w:pageBreakBefore w:val="false"/>
        <w:widowControl w:val="false"/>
        <w:shd w:fill="FFFFFF" w:val="clear"/>
        <w:kinsoku w:val="true"/>
        <w:overflowPunct w:val="false"/>
        <w:bidi w:val="0"/>
        <w:snapToGrid w:val="false"/>
        <w:spacing w:lineRule="exact" w:line="570" w:before="0" w:after="0"/>
        <w:ind w:firstLineChars="200" w:startChars="0" w:start="0" w:endChars="0" w:end="0"/>
        <w:jc w:val="both"/>
        <w:textAlignment w:val="auto"/>
        <w:rPr>
          <w:rFonts w:ascii="Times New Roman" w:hAnsi="Times New Roman" w:eastAsia="仿宋_GB2312;仿宋" w:cs="Times New Roman" w:hint="eastAsia"/>
          <w:spacing w:val="0"/>
          <w:w w:val="100"/>
          <w:sz w:val="32"/>
          <w:szCs w:val="32"/>
        </w:rPr>
      </w:pPr>
      <w:r>
        <w:rPr>
          <w:rFonts w:ascii="仿宋_GB2312;仿宋" w:hAnsi="仿宋_GB2312;仿宋" w:cs="Times New Roman" w:hint="eastAsia" w:eastAsia="仿宋_GB2312;仿宋"/>
          <w:spacing w:val="0"/>
          <w:w w:val="100"/>
          <w:sz w:val="32"/>
          <w:szCs w:val="32"/>
        </w:rPr>
        <w:t>一、将第二十六条修改为：</w:t>
      </w:r>
      <w:r>
        <w:rPr>
          <w:rFonts w:ascii="Times New Roman" w:hAnsi="Times New Roman" w:cs="Times New Roman" w:hint="eastAsia" w:eastAsia="仿宋_GB2312;仿宋"/>
          <w:spacing w:val="0"/>
          <w:w w:val="100"/>
          <w:sz w:val="32"/>
          <w:szCs w:val="32"/>
        </w:rPr>
        <w:t>“违反本条例规定，有下列行为之一的，由生态环境部门责令停止违法行为，处十万元以上五十万元以下的罚款；并报经有批准权的人民政府批准，责令拆除或者关闭：</w:t>
      </w:r>
    </w:p>
    <w:p>
      <w:pPr>
        <w:pStyle w:val="Style13"/>
        <w:keepNext w:val="false"/>
        <w:keepLines w:val="false"/>
        <w:pageBreakBefore w:val="false"/>
        <w:widowControl w:val="false"/>
        <w:shd w:fill="FFFFFF" w:val="clear"/>
        <w:kinsoku w:val="true"/>
        <w:overflowPunct w:val="false"/>
        <w:bidi w:val="0"/>
        <w:snapToGrid w:val="false"/>
        <w:spacing w:lineRule="exact" w:line="570" w:before="0" w:after="0"/>
        <w:ind w:firstLineChars="200" w:startChars="0" w:start="0" w:endChars="0" w:end="0"/>
        <w:jc w:val="both"/>
        <w:textAlignment w:val="auto"/>
        <w:rPr>
          <w:rFonts w:ascii="Times New Roman" w:hAnsi="Times New Roman" w:eastAsia="仿宋_GB2312;仿宋" w:cs="Times New Roman" w:hint="eastAsia"/>
          <w:spacing w:val="0"/>
          <w:w w:val="100"/>
          <w:sz w:val="32"/>
          <w:szCs w:val="32"/>
        </w:rPr>
      </w:pPr>
      <w:r>
        <w:rPr>
          <w:rFonts w:ascii="仿宋_GB2312;仿宋" w:hAnsi="仿宋_GB2312;仿宋" w:cs="Times New Roman" w:hint="eastAsia" w:eastAsia="仿宋_GB2312;仿宋"/>
          <w:spacing w:val="0"/>
          <w:w w:val="100"/>
          <w:sz w:val="32"/>
          <w:szCs w:val="32"/>
        </w:rPr>
        <w:t>（一）在饮用水水源一级保护区内新建、改建、扩建与供水设施和保护水源无关的建设项目的；</w:t>
      </w:r>
    </w:p>
    <w:p>
      <w:pPr>
        <w:pStyle w:val="Style13"/>
        <w:keepNext w:val="false"/>
        <w:keepLines w:val="false"/>
        <w:pageBreakBefore w:val="false"/>
        <w:widowControl w:val="false"/>
        <w:shd w:fill="FFFFFF" w:val="clear"/>
        <w:kinsoku w:val="true"/>
        <w:overflowPunct w:val="false"/>
        <w:bidi w:val="0"/>
        <w:snapToGrid w:val="false"/>
        <w:spacing w:lineRule="exact" w:line="570" w:before="0" w:after="0"/>
        <w:ind w:firstLineChars="200" w:startChars="0" w:start="0" w:endChars="0" w:end="0"/>
        <w:jc w:val="both"/>
        <w:textAlignment w:val="auto"/>
        <w:rPr>
          <w:rFonts w:ascii="Times New Roman" w:hAnsi="Times New Roman" w:eastAsia="仿宋_GB2312;仿宋" w:cs="Times New Roman" w:hint="eastAsia"/>
          <w:spacing w:val="0"/>
          <w:w w:val="100"/>
          <w:sz w:val="32"/>
          <w:szCs w:val="32"/>
        </w:rPr>
      </w:pPr>
      <w:r>
        <w:rPr>
          <w:rFonts w:ascii="仿宋_GB2312;仿宋" w:hAnsi="仿宋_GB2312;仿宋" w:cs="Times New Roman" w:hint="eastAsia" w:eastAsia="仿宋_GB2312;仿宋"/>
          <w:spacing w:val="0"/>
          <w:w w:val="100"/>
          <w:sz w:val="32"/>
          <w:szCs w:val="32"/>
        </w:rPr>
        <w:t>（二）在饮用水水源二级保护区内新建、改建、扩建排放污染物的建设项目的；</w:t>
      </w:r>
    </w:p>
    <w:p>
      <w:pPr>
        <w:pStyle w:val="Style13"/>
        <w:keepNext w:val="false"/>
        <w:keepLines w:val="false"/>
        <w:pageBreakBefore w:val="false"/>
        <w:widowControl w:val="false"/>
        <w:shd w:fill="FFFFFF" w:val="clear"/>
        <w:kinsoku w:val="true"/>
        <w:overflowPunct w:val="false"/>
        <w:bidi w:val="0"/>
        <w:snapToGrid w:val="false"/>
        <w:spacing w:lineRule="exact" w:line="570" w:before="0" w:after="0"/>
        <w:ind w:firstLineChars="200" w:startChars="0" w:start="0" w:endChars="0" w:end="0"/>
        <w:jc w:val="both"/>
        <w:textAlignment w:val="auto"/>
        <w:rPr>
          <w:rFonts w:ascii="Times New Roman" w:hAnsi="Times New Roman" w:eastAsia="仿宋_GB2312;仿宋" w:cs="Times New Roman" w:hint="eastAsia"/>
          <w:spacing w:val="0"/>
          <w:w w:val="100"/>
          <w:sz w:val="32"/>
          <w:szCs w:val="32"/>
        </w:rPr>
      </w:pPr>
      <w:r>
        <w:rPr>
          <w:rFonts w:ascii="仿宋_GB2312;仿宋" w:hAnsi="仿宋_GB2312;仿宋" w:cs="Times New Roman" w:hint="eastAsia" w:eastAsia="仿宋_GB2312;仿宋"/>
          <w:spacing w:val="0"/>
          <w:w w:val="100"/>
          <w:sz w:val="32"/>
          <w:szCs w:val="32"/>
        </w:rPr>
        <w:t>（三）在饮用水水源准保护区内新建、扩建对水体污染严重的建设项目，或者改建建设项目增加排污量的。</w:t>
      </w:r>
    </w:p>
    <w:p>
      <w:pPr>
        <w:pStyle w:val="Style13"/>
        <w:keepNext w:val="false"/>
        <w:keepLines w:val="false"/>
        <w:pageBreakBefore w:val="false"/>
        <w:widowControl w:val="false"/>
        <w:shd w:fill="FFFFFF" w:val="clear"/>
        <w:kinsoku w:val="true"/>
        <w:overflowPunct w:val="false"/>
        <w:bidi w:val="0"/>
        <w:snapToGrid w:val="false"/>
        <w:spacing w:lineRule="exact" w:line="570" w:before="0" w:after="0"/>
        <w:ind w:firstLineChars="200" w:startChars="0" w:start="0" w:endChars="0" w:end="0"/>
        <w:jc w:val="both"/>
        <w:textAlignment w:val="auto"/>
        <w:rPr>
          <w:rFonts w:ascii="Times New Roman" w:hAnsi="Times New Roman" w:eastAsia="仿宋_GB2312;仿宋" w:cs="Times New Roman" w:hint="eastAsia"/>
          <w:spacing w:val="0"/>
          <w:w w:val="100"/>
          <w:sz w:val="32"/>
          <w:szCs w:val="32"/>
        </w:rPr>
      </w:pPr>
      <w:r>
        <w:rPr>
          <w:rFonts w:ascii="仿宋_GB2312;仿宋" w:hAnsi="仿宋_GB2312;仿宋" w:cs="Times New Roman" w:hint="eastAsia" w:eastAsia="仿宋_GB2312;仿宋"/>
          <w:spacing w:val="0"/>
          <w:w w:val="100"/>
          <w:sz w:val="32"/>
          <w:szCs w:val="32"/>
        </w:rPr>
        <w:t>在饮用水水源一级保护区内从事网箱养殖或者组织进行旅游、垂钓或者其他可能污染饮用水水体的活动的，由生态环境部门责令停止违法行为，处二万元以上十万元以下的罚款。个人在饮用水水源一级保护区内游泳、垂钓或者从事其他可能污染饮用水水体的活动的，由生态环境部门责令停止违法行为，可以处五百元以下的罚款。</w:t>
      </w:r>
      <w:r>
        <w:rPr>
          <w:rFonts w:ascii="Times New Roman" w:hAnsi="Times New Roman" w:cs="Times New Roman" w:hint="eastAsia" w:eastAsia="仿宋_GB2312;仿宋"/>
          <w:spacing w:val="0"/>
          <w:w w:val="100"/>
          <w:sz w:val="32"/>
          <w:szCs w:val="32"/>
        </w:rPr>
        <w:t>”</w:t>
      </w:r>
    </w:p>
    <w:p>
      <w:pPr>
        <w:pStyle w:val="Style13"/>
        <w:keepNext w:val="false"/>
        <w:keepLines w:val="false"/>
        <w:pageBreakBefore w:val="false"/>
        <w:widowControl w:val="false"/>
        <w:shd w:fill="FFFFFF" w:val="clear"/>
        <w:kinsoku w:val="true"/>
        <w:overflowPunct w:val="false"/>
        <w:bidi w:val="0"/>
        <w:snapToGrid w:val="false"/>
        <w:spacing w:lineRule="exact" w:line="570" w:before="0" w:after="0"/>
        <w:ind w:firstLineChars="200" w:startChars="0" w:start="0" w:endChars="0" w:end="0"/>
        <w:jc w:val="both"/>
        <w:textAlignment w:val="auto"/>
        <w:rPr>
          <w:rFonts w:ascii="Times New Roman" w:hAnsi="Times New Roman" w:eastAsia="仿宋_GB2312;仿宋" w:cs="Times New Roman" w:hint="eastAsia"/>
          <w:spacing w:val="0"/>
          <w:w w:val="100"/>
          <w:sz w:val="32"/>
          <w:szCs w:val="32"/>
        </w:rPr>
      </w:pPr>
      <w:r>
        <w:rPr>
          <w:rFonts w:ascii="仿宋_GB2312;仿宋" w:hAnsi="仿宋_GB2312;仿宋" w:cs="Times New Roman" w:hint="eastAsia" w:eastAsia="仿宋_GB2312;仿宋"/>
          <w:spacing w:val="0"/>
          <w:w w:val="100"/>
          <w:sz w:val="32"/>
          <w:szCs w:val="32"/>
        </w:rPr>
        <w:t>二、将第三十条修改为：</w:t>
      </w:r>
      <w:r>
        <w:rPr>
          <w:rFonts w:ascii="Times New Roman" w:hAnsi="Times New Roman" w:cs="Times New Roman" w:hint="eastAsia" w:eastAsia="仿宋_GB2312;仿宋"/>
          <w:spacing w:val="0"/>
          <w:w w:val="100"/>
          <w:sz w:val="32"/>
          <w:szCs w:val="32"/>
        </w:rPr>
        <w:t>“本条例未作规定的，依照相关法律、法规执行。”</w:t>
      </w:r>
    </w:p>
    <w:p>
      <w:pPr>
        <w:pStyle w:val="Normal"/>
        <w:keepNext w:val="false"/>
        <w:keepLines w:val="false"/>
        <w:pageBreakBefore w:val="false"/>
        <w:widowControl w:val="false"/>
        <w:kinsoku w:val="true"/>
        <w:overflowPunct w:val="false"/>
        <w:bidi w:val="0"/>
        <w:snapToGrid w:val="false"/>
        <w:spacing w:lineRule="exact" w:line="570"/>
        <w:ind w:firstLineChars="200" w:startChars="0" w:start="0" w:endChars="0" w:end="0"/>
        <w:jc w:val="both"/>
        <w:textAlignment w:val="auto"/>
        <w:rPr>
          <w:rFonts w:eastAsia="仿宋_GB2312;仿宋" w:hint="eastAsia"/>
          <w:spacing w:val="0"/>
          <w:w w:val="100"/>
          <w:sz w:val="32"/>
          <w:szCs w:val="32"/>
        </w:rPr>
      </w:pPr>
      <w:r>
        <w:rPr>
          <w:rFonts w:ascii="仿宋_GB2312;仿宋" w:hAnsi="仿宋_GB2312;仿宋" w:hint="eastAsia" w:eastAsia="仿宋_GB2312;仿宋"/>
          <w:spacing w:val="0"/>
          <w:w w:val="100"/>
          <w:sz w:val="32"/>
          <w:szCs w:val="32"/>
        </w:rPr>
        <w:t>本决定自公布之日起施行。</w:t>
      </w:r>
    </w:p>
    <w:p>
      <w:pPr>
        <w:pStyle w:val="Normal"/>
        <w:keepNext w:val="false"/>
        <w:keepLines w:val="false"/>
        <w:pageBreakBefore w:val="false"/>
        <w:widowControl w:val="false"/>
        <w:kinsoku w:val="true"/>
        <w:overflowPunct w:val="false"/>
        <w:autoSpaceDE w:val="false"/>
        <w:bidi w:val="0"/>
        <w:snapToGrid w:val="false"/>
        <w:spacing w:lineRule="exact" w:line="570"/>
        <w:ind w:firstLineChars="200" w:startChars="0" w:start="0" w:endChars="0" w:end="0"/>
        <w:jc w:val="both"/>
        <w:textAlignment w:val="auto"/>
        <w:rPr>
          <w:rFonts w:eastAsia="仿宋_GB2312;仿宋" w:hint="eastAsia"/>
          <w:spacing w:val="0"/>
          <w:w w:val="100"/>
          <w:sz w:val="32"/>
          <w:szCs w:val="32"/>
        </w:rPr>
      </w:pPr>
      <w:r>
        <w:rPr>
          <w:rFonts w:ascii="仿宋_GB2312;仿宋" w:hAnsi="仿宋_GB2312;仿宋" w:hint="eastAsia" w:eastAsia="仿宋_GB2312;仿宋"/>
          <w:spacing w:val="0"/>
          <w:w w:val="100"/>
          <w:sz w:val="32"/>
          <w:szCs w:val="32"/>
        </w:rPr>
        <w:t>《辽阳市汤河水库饮用水水源保护条例》根据本决定作相应修改，重新公布。</w:t>
      </w:r>
    </w:p>
    <w:p>
      <w:pPr>
        <w:pStyle w:val="Normal"/>
        <w:keepNext w:val="false"/>
        <w:keepLines w:val="false"/>
        <w:pageBreakBefore w:val="false"/>
        <w:widowControl w:val="false"/>
        <w:kinsoku w:val="true"/>
        <w:overflowPunct w:val="false"/>
        <w:autoSpaceDE w:val="true"/>
        <w:bidi w:val="0"/>
        <w:snapToGrid w:val="false"/>
        <w:spacing w:lineRule="exact" w:line="570"/>
        <w:jc w:val="both"/>
        <w:textAlignment w:val="auto"/>
        <w:rPr>
          <w:rFonts w:ascii="仿宋_GB2312;仿宋" w:hAnsi="仿宋_GB2312;仿宋" w:eastAsia="仿宋_GB2312;仿宋" w:hint="eastAsia"/>
          <w:spacing w:val="0"/>
          <w:w w:val="100"/>
          <w:sz w:val="32"/>
          <w:szCs w:val="32"/>
        </w:rPr>
      </w:pPr>
      <w:r>
        <w:rPr>
          <w:rFonts w:eastAsia="仿宋_GB2312;仿宋" w:hint="eastAsia" w:ascii="仿宋_GB2312;仿宋" w:hAnsi="仿宋_GB2312;仿宋"/>
          <w:spacing w:val="0"/>
          <w:w w:val="100"/>
          <w:sz w:val="32"/>
          <w:szCs w:val="32"/>
        </w:rPr>
      </w:r>
      <w:r>
        <mc:AlternateContent>
          <mc:Choice Requires="wps">
            <w:drawing>
              <wp:anchor distT="0" distB="0" distL="114935" distR="114935" simplePos="0" relativeHeight="4" behindDoc="0" locked="0" layoutInCell="1" allowOverlap="1">
                <wp:simplePos x="0" y="0"/>
                <wp:positionH relativeFrom="column">
                  <wp:posOffset>100330</wp:posOffset>
                </wp:positionH>
                <wp:positionV relativeFrom="paragraph">
                  <wp:posOffset>8071485</wp:posOffset>
                </wp:positionV>
                <wp:extent cx="753110" cy="335280"/>
                <wp:effectExtent l="0" t="0" r="0" b="0"/>
                <wp:wrapNone/>
                <wp:docPr id="1" name="Frame1"/>
                <a:graphic xmlns:a="http://schemas.openxmlformats.org/drawingml/2006/main">
                  <a:graphicData uri="http://schemas.microsoft.com/office/word/2010/wordprocessingShape">
                    <wps:wsp>
                      <wps:cNvSpPr txBox="1"/>
                      <wps:spPr>
                        <a:xfrm>
                          <a:off x="0" y="0"/>
                          <a:ext cx="753110" cy="33528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9.3pt;height:26.4pt;mso-wrap-distance-left:9.05pt;mso-wrap-distance-right:9.05pt;mso-wrap-distance-top:0pt;mso-wrap-distance-bottom:0pt;margin-top:635.55pt;mso-position-vertical-relative:text;margin-left:7.9pt;mso-position-horizontal-relative:text">
                <v:textbox>
                  <w:txbxContent>
                    <w:p>
                      <w:pPr>
                        <w:pStyle w:val="Normal"/>
                        <w:rPr/>
                      </w:pPr>
                      <w:r>
                        <w:rPr/>
                      </w:r>
                    </w:p>
                  </w:txbxContent>
                </v:textbox>
                <w10:wrap type="none"/>
              </v:rect>
            </w:pict>
          </mc:Fallback>
        </mc:AlternateContent>
      </w:r>
    </w:p>
    <w:sectPr>
      <w:footerReference w:type="default" r:id="rId2"/>
      <w:type w:val="nextPage"/>
      <w:pgSz w:w="11906" w:h="16838"/>
      <w:pgMar w:left="1531" w:right="1531" w:gutter="0" w:header="0" w:top="2098" w:footer="1757" w:bottom="1984"/>
      <w:pgNumType w:start="1"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charset w:val="01"/>
    <w:family w:val="swiss"/>
    <w:pitch w:val="default"/>
  </w:font>
  <w:font w:name="Calibri">
    <w:charset w:val="00" w:characterSet="windows-1252"/>
    <w:family w:val="swiss"/>
    <w:pitch w:val="default"/>
  </w:font>
  <w:font w:name="Cambria">
    <w:charset w:val="00" w:characterSet="windows-1252"/>
    <w:family w:val="roman"/>
    <w:pitch w:val="default"/>
  </w:font>
  <w:font w:name="宋体">
    <w:charset w:val="86"/>
    <w:family w:val="auto"/>
    <w:pitch w:val="default"/>
  </w:font>
  <w:font w:name="方正小标宋简体">
    <w:altName w:val="方正舒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3" behindDoc="0" locked="0" layoutInCell="0" allowOverlap="1">
              <wp:simplePos x="0" y="0"/>
              <wp:positionH relativeFrom="margin">
                <wp:align>outside</wp:align>
              </wp:positionH>
              <wp:positionV relativeFrom="paragraph">
                <wp:posOffset>635</wp:posOffset>
              </wp:positionV>
              <wp:extent cx="542925" cy="808990"/>
              <wp:effectExtent l="0" t="0" r="0" b="0"/>
              <wp:wrapSquare wrapText="bothSides"/>
              <wp:docPr id="2" name="Frame2"/>
              <a:graphic xmlns:a="http://schemas.openxmlformats.org/drawingml/2006/main">
                <a:graphicData uri="http://schemas.microsoft.com/office/word/2010/wordprocessingShape">
                  <wps:wsp>
                    <wps:cNvSpPr txBox="1"/>
                    <wps:spPr>
                      <a:xfrm>
                        <a:off x="0" y="0"/>
                        <a:ext cx="542925" cy="8089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Style w:val="PageNumber"/>
                              <w:rFonts w:hint="eastAsia"/>
                              <w:sz w:val="21"/>
                              <w:szCs w:val="21"/>
                            </w:rPr>
                          </w:pPr>
                          <w:r>
                            <w:rPr>
                              <w:rFonts w:cs="Times New Roman" w:hint="eastAsia"/>
                              <w:sz w:val="28"/>
                              <w:szCs w:val="28"/>
                            </w:rPr>
                            <w:t xml:space="preserve">— </w:t>
                          </w:r>
                          <w:r>
                            <w:rPr>
                              <w:rFonts w:cs="Times New Roman"/>
                              <w:sz w:val="28"/>
                              <w:szCs w:val="28"/>
                            </w:rPr>
                            <w:fldChar w:fldCharType="begin"/>
                          </w:r>
                          <w:r>
                            <w:rPr>
                              <w:rFonts w:cs="Times New Roman"/>
                              <w:sz w:val="28"/>
                              <w:szCs w:val="28"/>
                            </w:rPr>
                            <w:instrText xml:space="preserve"> PAGE </w:instrText>
                          </w:r>
                          <w:r>
                            <w:rPr>
                              <w:rFonts w:cs="Times New Roman"/>
                              <w:sz w:val="28"/>
                              <w:szCs w:val="28"/>
                            </w:rPr>
                            <w:fldChar w:fldCharType="separate"/>
                          </w:r>
                          <w:r>
                            <w:rPr>
                              <w:rFonts w:cs="Times New Roman"/>
                              <w:sz w:val="28"/>
                              <w:szCs w:val="28"/>
                            </w:rPr>
                            <w:t>2</w:t>
                          </w:r>
                          <w:r>
                            <w:rPr>
                              <w:rFonts w:cs="Times New Roman"/>
                              <w:sz w:val="28"/>
                              <w:szCs w:val="28"/>
                            </w:rPr>
                            <w:fldChar w:fldCharType="end"/>
                          </w:r>
                          <w:r>
                            <w:rPr>
                              <w:rFonts w:cs="Times New Roman" w:hint="eastAsia"/>
                              <w:sz w:val="28"/>
                              <w:szCs w:val="28"/>
                            </w:rPr>
                            <w:t xml:space="preserve"> —</w:t>
                          </w:r>
                          <w:r>
                            <w:rPr>
                              <w:rStyle w:val="PageNumber"/>
                              <w:rFonts w:hint="eastAsia"/>
                              <w:sz w:val="21"/>
                              <w:szCs w:val="21"/>
                            </w:rPr>
                            <w:t xml:space="preserve"> </w:t>
                          </w:r>
                        </w:p>
                      </w:txbxContent>
                    </wps:txbx>
                    <wps:bodyPr anchor="t" lIns="0" tIns="0" rIns="0" bIns="0">
                      <a:noAutofit/>
                    </wps:bodyPr>
                  </wps:wsp>
                </a:graphicData>
              </a:graphic>
            </wp:anchor>
          </w:drawing>
        </mc:Choice>
        <mc:Fallback>
          <w:pict>
            <v:rect fillcolor="#FFFFFF" style="position:absolute;rotation:-0;width:42.75pt;height:63.7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Style w:val="PageNumber"/>
                        <w:rFonts w:hint="eastAsia"/>
                        <w:sz w:val="21"/>
                        <w:szCs w:val="21"/>
                      </w:rPr>
                    </w:pPr>
                    <w:r>
                      <w:rPr>
                        <w:rFonts w:cs="Times New Roman" w:hint="eastAsia"/>
                        <w:sz w:val="28"/>
                        <w:szCs w:val="28"/>
                      </w:rPr>
                      <w:t xml:space="preserve">— </w:t>
                    </w:r>
                    <w:r>
                      <w:rPr>
                        <w:rFonts w:cs="Times New Roman"/>
                        <w:sz w:val="28"/>
                        <w:szCs w:val="28"/>
                      </w:rPr>
                      <w:fldChar w:fldCharType="begin"/>
                    </w:r>
                    <w:r>
                      <w:rPr>
                        <w:rFonts w:cs="Times New Roman"/>
                        <w:sz w:val="28"/>
                        <w:szCs w:val="28"/>
                      </w:rPr>
                      <w:instrText xml:space="preserve"> PAGE </w:instrText>
                    </w:r>
                    <w:r>
                      <w:rPr>
                        <w:rFonts w:cs="Times New Roman"/>
                        <w:sz w:val="28"/>
                        <w:szCs w:val="28"/>
                      </w:rPr>
                      <w:fldChar w:fldCharType="separate"/>
                    </w:r>
                    <w:r>
                      <w:rPr>
                        <w:rFonts w:cs="Times New Roman"/>
                        <w:sz w:val="28"/>
                        <w:szCs w:val="28"/>
                      </w:rPr>
                      <w:t>2</w:t>
                    </w:r>
                    <w:r>
                      <w:rPr>
                        <w:rFonts w:cs="Times New Roman"/>
                        <w:sz w:val="28"/>
                        <w:szCs w:val="28"/>
                      </w:rPr>
                      <w:fldChar w:fldCharType="end"/>
                    </w:r>
                    <w:r>
                      <w:rPr>
                        <w:rFonts w:cs="Times New Roman" w:hint="eastAsia"/>
                        <w:sz w:val="28"/>
                        <w:szCs w:val="28"/>
                      </w:rPr>
                      <w:t xml:space="preserve"> —</w:t>
                    </w:r>
                    <w:r>
                      <w:rPr>
                        <w:rStyle w:val="PageNumber"/>
                        <w:rFonts w:hint="eastAsia"/>
                        <w:sz w:val="21"/>
                        <w:szCs w:val="21"/>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Arial" w:hAnsi="Arial" w:eastAsia="黑体" w:cs="Arial"/>
      <w:b/>
      <w:kern w:val="0"/>
      <w:sz w:val="32"/>
      <w:szCs w:val="20"/>
    </w:rPr>
  </w:style>
  <w:style w:type="character" w:styleId="Style12">
    <w:name w:val="默认段落字体"/>
    <w:qFormat/>
    <w:rPr/>
  </w:style>
  <w:style w:type="character" w:styleId="1Char">
    <w:name w:val="标题 1 Char"/>
    <w:qFormat/>
    <w:rPr>
      <w:rFonts w:eastAsia="宋体"/>
      <w:b/>
      <w:bCs/>
      <w:kern w:val="2"/>
      <w:sz w:val="44"/>
      <w:szCs w:val="44"/>
      <w:lang w:bidi="ar-SA"/>
    </w:rPr>
  </w:style>
  <w:style w:type="character" w:styleId="2Char">
    <w:name w:val="标题 2 Char"/>
    <w:qFormat/>
    <w:rPr>
      <w:rFonts w:ascii="Arial" w:hAnsi="Arial" w:eastAsia="黑体" w:cs="Arial"/>
      <w:b/>
      <w:sz w:val="32"/>
      <w:lang w:bidi="ar-SA"/>
    </w:rPr>
  </w:style>
  <w:style w:type="character" w:styleId="PageNumber">
    <w:name w:val="page number"/>
    <w:basedOn w:val="Style12"/>
    <w:rPr/>
  </w:style>
  <w:style w:type="character" w:styleId="15">
    <w:name w:val="15"/>
    <w:basedOn w:val="Style12"/>
    <w:qFormat/>
    <w:rPr>
      <w:rFonts w:ascii="Calibri" w:hAnsi="Calibri" w:cs="Calibri"/>
      <w:b/>
      <w:bCs/>
    </w:rPr>
  </w:style>
  <w:style w:type="paragraph" w:styleId="Heading">
    <w:name w:val="Heading"/>
    <w:basedOn w:val="Normal"/>
    <w:next w:val="Normal"/>
    <w:qFormat/>
    <w:pPr>
      <w:spacing w:before="240" w:after="60"/>
      <w:jc w:val="center"/>
      <w:outlineLvl w:val="0"/>
    </w:pPr>
    <w:rPr>
      <w:rFonts w:ascii="Cambria" w:hAnsi="Cambria" w:cs="黑体"/>
      <w:b/>
      <w:bCs/>
      <w:sz w:val="32"/>
      <w:szCs w:val="32"/>
    </w:rPr>
  </w:style>
  <w:style w:type="paragraph" w:styleId="BodyText">
    <w:name w:val="Body Text"/>
    <w:basedOn w:val="Normal"/>
    <w:pPr>
      <w:jc w:val="center"/>
    </w:pPr>
    <w:rPr>
      <w:b/>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ubtitle">
    <w:name w:val="Subtitle"/>
    <w:basedOn w:val="Normal"/>
    <w:next w:val="Normal"/>
    <w:qFormat/>
    <w:pPr>
      <w:spacing w:lineRule="auto" w:line="312" w:before="240" w:after="60"/>
      <w:jc w:val="center"/>
      <w:outlineLvl w:val="1"/>
    </w:pPr>
    <w:rPr>
      <w:rFonts w:ascii="Calibri" w:hAnsi="Calibri" w:cs="宋体"/>
      <w:b/>
      <w:bCs/>
      <w:kern w:val="2"/>
      <w:sz w:val="32"/>
      <w:szCs w:val="32"/>
    </w:rPr>
  </w:style>
  <w:style w:type="paragraph" w:styleId="Style13">
    <w:name w:val="普通(网站)"/>
    <w:basedOn w:val="Normal"/>
    <w:qFormat/>
    <w:pPr>
      <w:widowControl/>
      <w:spacing w:before="100" w:after="100"/>
      <w:jc w:val="start"/>
    </w:pPr>
    <w:rPr>
      <w:rFonts w:ascii="宋体" w:hAnsi="宋体" w:cs="宋体"/>
      <w:sz w:val="24"/>
    </w:rPr>
  </w:style>
  <w:style w:type="paragraph" w:styleId="Style14">
    <w:name w:val="●大标题"/>
    <w:basedOn w:val="Normal"/>
    <w:qFormat/>
    <w:pPr>
      <w:spacing w:lineRule="exact" w:line="640"/>
      <w:jc w:val="center"/>
    </w:pPr>
    <w:rPr>
      <w:rFonts w:ascii="方正小标宋简体;方正舒体" w:hAnsi="方正小标宋简体;方正舒体" w:eastAsia="方正小标宋简体;方正舒体" w:cs="宋体"/>
      <w:sz w:val="44"/>
      <w:szCs w:val="44"/>
    </w:rPr>
  </w:style>
  <w:style w:type="paragraph" w:styleId="3">
    <w:name w:val="无间隔3"/>
    <w:qFormat/>
    <w:pPr>
      <w:widowControl w:val="false"/>
      <w:bidi w:val="0"/>
      <w:jc w:val="both"/>
    </w:pPr>
    <w:rPr>
      <w:rFonts w:ascii="Calibri" w:hAnsi="Calibri" w:eastAsia="宋体" w:cs="Times New Roman"/>
      <w:color w:val="auto"/>
      <w:kern w:val="2"/>
      <w:sz w:val="21"/>
      <w:szCs w:val="22"/>
      <w:lang w:bidi="ar-SA" w:val="en-US" w:eastAsia="zh-CN"/>
    </w:rPr>
  </w:style>
  <w:style w:type="paragraph" w:styleId="Style15">
    <w:name w:val="标书正文"/>
    <w:basedOn w:val="Normal"/>
    <w:qFormat/>
    <w:pPr>
      <w:tabs>
        <w:tab w:val="clear" w:pos="420"/>
        <w:tab w:val="left" w:pos="0" w:leader="none"/>
      </w:tabs>
      <w:snapToGrid w:val="false"/>
      <w:ind w:firstLineChars="200" w:startChars="0" w:start="0" w:endChars="0" w:end="0"/>
    </w:pPr>
    <w:rPr>
      <w:rFonts w:ascii="宋体" w:hAnsi="宋体" w:cs="宋体"/>
      <w:szCs w:val="24"/>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basedOn w:val="Normal"/>
    <w:qFormat/>
    <w:pPr/>
    <w:rPr>
      <w:szCs w:val="21"/>
    </w:rPr>
  </w:style>
  <w:style w:type="paragraph" w:styleId="222">
    <w:name w:val="正文222"/>
    <w:basedOn w:val="Style15"/>
    <w:qFormat/>
    <w:pPr>
      <w:spacing w:lineRule="exact" w:line="400"/>
      <w:ind w:firstLineChars="200" w:startChars="0" w:start="0" w:endChars="0" w:end="0"/>
    </w:pPr>
    <w:rPr>
      <w:rFonts w:ascii="宋体" w:hAnsi="宋体" w:eastAsia="宋体" w:cs="宋体"/>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29280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2021-02-26T18:09:00Z</dcterms:created>
  <dc:creator>Microsoft</dc:creator>
  <dc:description/>
  <dc:language>en-US</dc:language>
  <cp:lastModifiedBy>PC398</cp:lastModifiedBy>
  <cp:lastPrinted>2021-12-07T19:11:00Z</cp:lastPrinted>
  <dcterms:modified xsi:type="dcterms:W3CDTF">2022-03-04T14:20:12Z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58AF5D97B2F34AB88AB3BE3CED314CBC</vt:lpwstr>
  </property>
  <property fmtid="{D5CDD505-2E9C-101B-9397-08002B2CF9AE}" pid="3" name="KSOProductBuildVer">
    <vt:lpwstr>2052-11.1.0.11365</vt:lpwstr>
  </property>
</Properties>
</file>