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590" w:before="0" w:after="0"/>
        <w:ind w:firstLineChars="0" w:firstLine="0" w:startChars="0" w:start="0" w:endChars="0" w:end="0"/>
        <w:jc w:val="center"/>
        <w:textAlignment w:val="auto"/>
        <w:rPr>
          <w:rFonts w:ascii="仿宋" w:hAnsi="仿宋" w:eastAsia="仿宋" w:cs="仿宋" w:hint="eastAsia"/>
          <w:b/>
          <w:sz w:val="44"/>
          <w:szCs w:val="44"/>
        </w:rPr>
      </w:pPr>
      <w:r>
        <w:rPr>
          <w:rFonts w:eastAsia="仿宋" w:cs="仿宋" w:hint="eastAsia" w:ascii="仿宋" w:hAnsi="仿宋"/>
          <w:b/>
          <w:sz w:val="44"/>
          <w:szCs w:val="44"/>
        </w:rPr>
      </w:r>
    </w:p>
    <w:p>
      <w:pPr>
        <w:pStyle w:val="Normal"/>
        <w:keepNext w:val="false"/>
        <w:keepLines w:val="false"/>
        <w:pageBreakBefore w:val="false"/>
        <w:kinsoku w:val="true"/>
        <w:overflowPunct w:val="true"/>
        <w:autoSpaceDE w:val="true"/>
        <w:bidi w:val="0"/>
        <w:snapToGrid w:val="true"/>
        <w:spacing w:lineRule="exact" w:line="590" w:before="0" w:after="0"/>
        <w:ind w:firstLineChars="0" w:firstLine="0" w:startChars="0" w:start="0" w:endChars="0" w:end="0"/>
        <w:jc w:val="center"/>
        <w:textAlignment w:val="auto"/>
        <w:rPr>
          <w:rFonts w:ascii="宋体" w:hAnsi="宋体" w:eastAsia="宋体" w:cs="宋体" w:hint="eastAsia"/>
          <w:sz w:val="32"/>
          <w:szCs w:val="44"/>
        </w:rPr>
      </w:pPr>
      <w:r>
        <w:rPr>
          <w:rFonts w:ascii="黑体" w:hAnsi="黑体" w:cs="黑体" w:hint="eastAsia" w:eastAsia="黑体"/>
          <w:sz w:val="44"/>
          <w:szCs w:val="44"/>
        </w:rPr>
        <w:t>新宾满族自治县林业管理条例</w:t>
      </w:r>
    </w:p>
    <w:p>
      <w:pPr>
        <w:pStyle w:val="Normal"/>
        <w:keepNext w:val="false"/>
        <w:keepLines w:val="false"/>
        <w:pageBreakBefore w:val="false"/>
        <w:kinsoku w:val="true"/>
        <w:overflowPunct w:val="true"/>
        <w:autoSpaceDE w:val="true"/>
        <w:bidi w:val="0"/>
        <w:snapToGrid w:val="true"/>
        <w:spacing w:lineRule="exact" w:line="590" w:before="0" w:after="0"/>
        <w:ind w:firstLineChars="0" w:firstLine="0" w:startChars="0" w:start="0" w:endChars="0" w:end="0"/>
        <w:jc w:val="center"/>
        <w:textAlignment w:val="auto"/>
        <w:rPr>
          <w:rFonts w:ascii="宋体" w:hAnsi="宋体" w:eastAsia="宋体" w:cs="宋体" w:hint="eastAsia"/>
          <w:sz w:val="32"/>
          <w:szCs w:val="44"/>
        </w:rPr>
      </w:pPr>
      <w:r>
        <w:rPr>
          <w:rFonts w:eastAsia="宋体" w:cs="宋体" w:hint="eastAsia" w:ascii="宋体" w:hAnsi="宋体"/>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200" w:endChars="200"/>
        <w:jc w:val="both"/>
        <w:textAlignment w:val="auto"/>
        <w:rPr>
          <w:rFonts w:ascii="楷体_GB2312" w:hAnsi="楷体_GB2312" w:eastAsia="楷体_GB2312" w:cs="仿宋" w:hint="eastAsia"/>
          <w:sz w:val="32"/>
          <w:szCs w:val="24"/>
        </w:rPr>
      </w:pPr>
      <w:r>
        <w:rPr>
          <w:rFonts w:eastAsia="楷体_GB2312" w:cs="仿宋" w:hint="eastAsia" w:ascii="楷体_GB2312" w:hAnsi="楷体_GB2312"/>
          <w:sz w:val="32"/>
          <w:szCs w:val="24"/>
        </w:rPr>
        <w:t>(2018</w:t>
      </w:r>
      <w:r>
        <w:rPr>
          <w:rFonts w:ascii="楷体_GB2312" w:hAnsi="楷体_GB2312" w:cs="仿宋" w:hint="eastAsia" w:eastAsia="楷体_GB2312"/>
          <w:sz w:val="32"/>
          <w:szCs w:val="24"/>
        </w:rPr>
        <w:t>年</w:t>
      </w:r>
      <w:r>
        <w:rPr>
          <w:rFonts w:eastAsia="楷体_GB2312" w:cs="仿宋" w:hint="eastAsia" w:ascii="楷体_GB2312" w:hAnsi="楷体_GB2312"/>
          <w:sz w:val="32"/>
          <w:szCs w:val="24"/>
        </w:rPr>
        <w:t>12</w:t>
      </w:r>
      <w:r>
        <w:rPr>
          <w:rFonts w:ascii="楷体_GB2312" w:hAnsi="楷体_GB2312" w:cs="仿宋" w:hint="eastAsia" w:eastAsia="楷体_GB2312"/>
          <w:sz w:val="32"/>
          <w:szCs w:val="24"/>
        </w:rPr>
        <w:t>月</w:t>
      </w:r>
      <w:r>
        <w:rPr>
          <w:rFonts w:eastAsia="楷体_GB2312" w:cs="仿宋" w:hint="eastAsia" w:ascii="楷体_GB2312" w:hAnsi="楷体_GB2312"/>
          <w:sz w:val="32"/>
          <w:szCs w:val="24"/>
        </w:rPr>
        <w:t>12</w:t>
      </w:r>
      <w:r>
        <w:rPr>
          <w:rFonts w:ascii="楷体_GB2312" w:hAnsi="楷体_GB2312" w:cs="仿宋" w:hint="eastAsia" w:eastAsia="楷体_GB2312"/>
          <w:sz w:val="32"/>
          <w:szCs w:val="24"/>
        </w:rPr>
        <w:t xml:space="preserve">日新宾满族自治县第九届人民代表大会第二次会议通过 </w:t>
      </w:r>
      <w:r>
        <w:rPr>
          <w:rFonts w:eastAsia="楷体_GB2312" w:cs="仿宋" w:hint="eastAsia" w:ascii="楷体_GB2312" w:hAnsi="楷体_GB2312"/>
          <w:sz w:val="32"/>
          <w:szCs w:val="24"/>
        </w:rPr>
        <w:t>2019</w:t>
      </w:r>
      <w:r>
        <w:rPr>
          <w:rFonts w:ascii="楷体_GB2312" w:hAnsi="楷体_GB2312" w:cs="仿宋" w:hint="eastAsia" w:eastAsia="楷体_GB2312"/>
          <w:sz w:val="32"/>
          <w:szCs w:val="24"/>
        </w:rPr>
        <w:t>年</w:t>
      </w:r>
      <w:r>
        <w:rPr>
          <w:rFonts w:eastAsia="楷体_GB2312" w:cs="仿宋" w:hint="eastAsia" w:ascii="楷体_GB2312" w:hAnsi="楷体_GB2312"/>
          <w:sz w:val="32"/>
          <w:szCs w:val="24"/>
        </w:rPr>
        <w:t>7</w:t>
      </w:r>
      <w:r>
        <w:rPr>
          <w:rFonts w:ascii="楷体_GB2312" w:hAnsi="楷体_GB2312" w:cs="仿宋" w:hint="eastAsia" w:eastAsia="楷体_GB2312"/>
          <w:sz w:val="32"/>
          <w:szCs w:val="24"/>
        </w:rPr>
        <w:t>月</w:t>
      </w:r>
      <w:r>
        <w:rPr>
          <w:rFonts w:eastAsia="楷体_GB2312" w:cs="仿宋" w:hint="eastAsia" w:ascii="楷体_GB2312" w:hAnsi="楷体_GB2312"/>
          <w:sz w:val="32"/>
          <w:szCs w:val="24"/>
        </w:rPr>
        <w:t>30</w:t>
      </w:r>
      <w:r>
        <w:rPr>
          <w:rFonts w:ascii="楷体_GB2312" w:hAnsi="楷体_GB2312" w:cs="仿宋" w:hint="eastAsia" w:eastAsia="楷体_GB2312"/>
          <w:sz w:val="32"/>
          <w:szCs w:val="24"/>
        </w:rPr>
        <w:t>日辽宁省第十三届人民代表大会常务委员会第十二次会议批准</w:t>
      </w:r>
      <w:r>
        <w:rPr>
          <w:rFonts w:eastAsia="楷体_GB2312" w:cs="仿宋" w:hint="eastAsia" w:ascii="楷体_GB2312" w:hAnsi="楷体_GB2312"/>
          <w:sz w:val="32"/>
          <w:szCs w:val="24"/>
        </w:rPr>
        <w:t>)</w:t>
      </w:r>
    </w:p>
    <w:p>
      <w:pPr>
        <w:pStyle w:val="Normal"/>
        <w:keepNext w:val="false"/>
        <w:keepLines w:val="false"/>
        <w:pageBreakBefore w:val="false"/>
        <w:widowControl w:val="false"/>
        <w:kinsoku w:val="true"/>
        <w:overflowPunct w:val="true"/>
        <w:autoSpaceDE w:val="true"/>
        <w:bidi w:val="0"/>
        <w:snapToGrid w:val="true"/>
        <w:spacing w:lineRule="exact" w:line="590" w:before="0" w:after="0"/>
        <w:ind w:firstLineChars="0" w:firstLine="0" w:startChars="200" w:endChars="200"/>
        <w:jc w:val="both"/>
        <w:textAlignment w:val="auto"/>
        <w:rPr>
          <w:rFonts w:ascii="楷体" w:hAnsi="楷体" w:eastAsia="楷体" w:cs="仿宋" w:hint="eastAsia"/>
          <w:sz w:val="32"/>
          <w:szCs w:val="24"/>
        </w:rPr>
      </w:pPr>
      <w:r>
        <w:rPr>
          <w:rFonts w:eastAsia="楷体" w:cs="仿宋" w:hint="eastAsia" w:ascii="楷体" w:hAnsi="楷体"/>
          <w:sz w:val="32"/>
          <w:szCs w:val="24"/>
        </w:rPr>
      </w:r>
    </w:p>
    <w:p>
      <w:pPr>
        <w:pStyle w:val="Normal"/>
        <w:keepNext w:val="false"/>
        <w:keepLines w:val="false"/>
        <w:pageBreakBefore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 xml:space="preserve">第一条 </w:t>
      </w:r>
      <w:r>
        <w:rPr>
          <w:rFonts w:ascii="仿宋" w:hAnsi="仿宋" w:cs="宋体" w:hint="eastAsia" w:eastAsia="仿宋"/>
          <w:color w:val="000000"/>
          <w:kern w:val="0"/>
          <w:sz w:val="32"/>
          <w:szCs w:val="32"/>
        </w:rPr>
        <w:t>为依法加强林业管理</w:t>
      </w:r>
      <w:r>
        <w:rPr>
          <w:rFonts w:eastAsia="仿宋" w:cs="宋体" w:hint="eastAsia" w:ascii="仿宋" w:hAnsi="仿宋"/>
          <w:color w:val="000000"/>
          <w:kern w:val="0"/>
          <w:sz w:val="32"/>
          <w:szCs w:val="32"/>
        </w:rPr>
        <w:t>,</w:t>
      </w:r>
      <w:r>
        <w:rPr>
          <w:rFonts w:ascii="仿宋" w:hAnsi="仿宋" w:cs="宋体" w:hint="eastAsia" w:eastAsia="仿宋"/>
          <w:color w:val="000000"/>
          <w:kern w:val="0"/>
          <w:sz w:val="32"/>
          <w:szCs w:val="32"/>
        </w:rPr>
        <w:t>保护、培育和合理利用森林资源，根据《中华人民共和国森林法》以及有关法律、法规，结合新宾满族自治县（以下简称自治县）实际，制定本条例。</w:t>
      </w:r>
    </w:p>
    <w:p>
      <w:pPr>
        <w:pStyle w:val="Normal"/>
        <w:keepNext w:val="false"/>
        <w:keepLines w:val="false"/>
        <w:pageBreakBefore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color w:val="000000"/>
          <w:sz w:val="32"/>
          <w:szCs w:val="32"/>
        </w:rPr>
      </w:pPr>
      <w:r>
        <w:rPr>
          <w:rFonts w:ascii="黑体" w:hAnsi="黑体" w:cs="宋体" w:hint="eastAsia" w:eastAsia="黑体"/>
          <w:color w:val="000000"/>
          <w:kern w:val="0"/>
          <w:sz w:val="32"/>
          <w:szCs w:val="32"/>
        </w:rPr>
        <w:t>第二条</w:t>
      </w:r>
      <w:r>
        <w:rPr>
          <w:rFonts w:ascii="仿宋" w:hAnsi="仿宋" w:cs="宋体" w:hint="eastAsia" w:eastAsia="仿宋"/>
          <w:color w:val="000000"/>
          <w:kern w:val="0"/>
          <w:sz w:val="32"/>
          <w:szCs w:val="32"/>
        </w:rPr>
        <w:t>　在自治县境内从事</w:t>
      </w:r>
      <w:r>
        <w:rPr>
          <w:rFonts w:ascii="仿宋" w:hAnsi="仿宋" w:cs="仿宋" w:hint="eastAsia" w:eastAsia="仿宋"/>
          <w:color w:val="000000"/>
          <w:sz w:val="32"/>
          <w:szCs w:val="32"/>
        </w:rPr>
        <w:t>森林资源的保护、培育、开发利用和经营活动的单位及个人，都必须遵守本条例。</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第三条</w:t>
      </w:r>
      <w:r>
        <w:rPr>
          <w:rFonts w:ascii="仿宋" w:hAnsi="仿宋" w:cs="宋体" w:hint="eastAsia" w:eastAsia="仿宋"/>
          <w:color w:val="000000"/>
          <w:kern w:val="0"/>
          <w:sz w:val="32"/>
          <w:szCs w:val="32"/>
        </w:rPr>
        <w:t>　自治县人民政府林业主管部门，依法管理和监督自治县境内森林资源的保护、培育、开发利用工作。</w:t>
      </w:r>
      <w:r>
        <w:rPr>
          <w:rFonts w:eastAsia="仿宋" w:cs="宋体" w:hint="eastAsia" w:ascii="仿宋" w:hAnsi="仿宋"/>
          <w:color w:val="000000"/>
          <w:kern w:val="0"/>
          <w:sz w:val="32"/>
          <w:szCs w:val="32"/>
        </w:rPr>
        <w:br/>
        <w:t xml:space="preserve">    </w:t>
      </w:r>
      <w:r>
        <w:rPr>
          <w:rFonts w:ascii="仿宋" w:hAnsi="仿宋" w:cs="宋体" w:hint="eastAsia" w:eastAsia="仿宋"/>
          <w:color w:val="000000"/>
          <w:kern w:val="0"/>
          <w:sz w:val="32"/>
          <w:szCs w:val="32"/>
        </w:rPr>
        <w:t>乡镇人民政府负责本行政区域内的林业工作，承担森林资源保护和管理的主体责任。</w:t>
      </w:r>
    </w:p>
    <w:p>
      <w:pPr>
        <w:pStyle w:val="Normal"/>
        <w:keepNext w:val="false"/>
        <w:keepLines w:val="false"/>
        <w:pageBreakBefore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乡镇林业服务管理机构在乡镇人民政府领导下和县林业主管部门的指导下，依法行使林业管理职能。</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黑体" w:hAnsi="黑体" w:cs="宋体" w:hint="eastAsia" w:eastAsia="黑体"/>
          <w:color w:val="000000"/>
          <w:kern w:val="0"/>
          <w:sz w:val="32"/>
          <w:szCs w:val="32"/>
        </w:rPr>
        <w:t xml:space="preserve">第四条 </w:t>
      </w:r>
      <w:r>
        <w:rPr>
          <w:rFonts w:ascii="仿宋" w:hAnsi="仿宋" w:cs="宋体" w:hint="eastAsia" w:eastAsia="仿宋"/>
          <w:color w:val="000000"/>
          <w:kern w:val="0"/>
          <w:sz w:val="32"/>
          <w:szCs w:val="32"/>
        </w:rPr>
        <w:t xml:space="preserve"> </w:t>
      </w:r>
      <w:r>
        <w:rPr>
          <w:rFonts w:ascii="仿宋" w:hAnsi="仿宋" w:cs="宋体" w:hint="eastAsia" w:eastAsia="仿宋"/>
          <w:bCs/>
          <w:color w:val="000000"/>
          <w:kern w:val="0"/>
          <w:sz w:val="32"/>
          <w:szCs w:val="32"/>
        </w:rPr>
        <w:t>自治县人民政府设立森林防火指挥部，划定防火责任区。</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自治县和乡镇人民政府、国有林场以及其他常驻单位，按照规定建立森林消防队伍，设置防火设施。</w:t>
      </w:r>
    </w:p>
    <w:p>
      <w:pPr>
        <w:pStyle w:val="Normal"/>
        <w:keepNext w:val="false"/>
        <w:keepLines w:val="false"/>
        <w:pageBreakBefore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每年春季</w:t>
      </w:r>
      <w:r>
        <w:rPr>
          <w:rFonts w:eastAsia="仿宋" w:cs="宋体" w:hint="eastAsia" w:ascii="仿宋" w:hAnsi="仿宋"/>
          <w:bCs/>
          <w:color w:val="000000"/>
          <w:kern w:val="0"/>
          <w:sz w:val="32"/>
          <w:szCs w:val="32"/>
        </w:rPr>
        <w:t>3</w:t>
      </w:r>
      <w:r>
        <w:rPr>
          <w:rFonts w:ascii="仿宋" w:hAnsi="仿宋" w:cs="宋体" w:hint="eastAsia" w:eastAsia="仿宋"/>
          <w:bCs/>
          <w:color w:val="000000"/>
          <w:kern w:val="0"/>
          <w:sz w:val="32"/>
          <w:szCs w:val="32"/>
        </w:rPr>
        <w:t>月</w:t>
      </w:r>
      <w:r>
        <w:rPr>
          <w:rFonts w:eastAsia="仿宋" w:cs="宋体" w:hint="eastAsia" w:ascii="仿宋" w:hAnsi="仿宋"/>
          <w:bCs/>
          <w:color w:val="000000"/>
          <w:kern w:val="0"/>
          <w:sz w:val="32"/>
          <w:szCs w:val="32"/>
        </w:rPr>
        <w:t>15</w:t>
      </w:r>
      <w:r>
        <w:rPr>
          <w:rFonts w:ascii="仿宋" w:hAnsi="仿宋" w:cs="宋体" w:hint="eastAsia" w:eastAsia="仿宋"/>
          <w:bCs/>
          <w:color w:val="000000"/>
          <w:kern w:val="0"/>
          <w:sz w:val="32"/>
          <w:szCs w:val="32"/>
        </w:rPr>
        <w:t>日至</w:t>
      </w:r>
      <w:r>
        <w:rPr>
          <w:rFonts w:eastAsia="仿宋" w:cs="宋体" w:hint="eastAsia" w:ascii="仿宋" w:hAnsi="仿宋"/>
          <w:bCs/>
          <w:color w:val="000000"/>
          <w:kern w:val="0"/>
          <w:sz w:val="32"/>
          <w:szCs w:val="32"/>
        </w:rPr>
        <w:t>5</w:t>
      </w:r>
      <w:r>
        <w:rPr>
          <w:rFonts w:ascii="仿宋" w:hAnsi="仿宋" w:cs="宋体" w:hint="eastAsia" w:eastAsia="仿宋"/>
          <w:bCs/>
          <w:color w:val="000000"/>
          <w:kern w:val="0"/>
          <w:sz w:val="32"/>
          <w:szCs w:val="32"/>
        </w:rPr>
        <w:t>月</w:t>
      </w:r>
      <w:r>
        <w:rPr>
          <w:rFonts w:eastAsia="仿宋" w:cs="宋体" w:hint="eastAsia" w:ascii="仿宋" w:hAnsi="仿宋"/>
          <w:bCs/>
          <w:color w:val="000000"/>
          <w:kern w:val="0"/>
          <w:sz w:val="32"/>
          <w:szCs w:val="32"/>
        </w:rPr>
        <w:t>31</w:t>
      </w:r>
      <w:r>
        <w:rPr>
          <w:rFonts w:ascii="仿宋" w:hAnsi="仿宋" w:cs="宋体" w:hint="eastAsia" w:eastAsia="仿宋"/>
          <w:bCs/>
          <w:color w:val="000000"/>
          <w:kern w:val="0"/>
          <w:sz w:val="32"/>
          <w:szCs w:val="32"/>
        </w:rPr>
        <w:t>日，秋季</w:t>
      </w:r>
      <w:r>
        <w:rPr>
          <w:rFonts w:eastAsia="仿宋" w:cs="宋体" w:hint="eastAsia" w:ascii="仿宋" w:hAnsi="仿宋"/>
          <w:bCs/>
          <w:color w:val="000000"/>
          <w:kern w:val="0"/>
          <w:sz w:val="32"/>
          <w:szCs w:val="32"/>
        </w:rPr>
        <w:t>10</w:t>
      </w:r>
      <w:r>
        <w:rPr>
          <w:rFonts w:ascii="仿宋" w:hAnsi="仿宋" w:cs="宋体" w:hint="eastAsia" w:eastAsia="仿宋"/>
          <w:bCs/>
          <w:color w:val="000000"/>
          <w:kern w:val="0"/>
          <w:sz w:val="32"/>
          <w:szCs w:val="32"/>
        </w:rPr>
        <w:t>月</w:t>
      </w:r>
      <w:r>
        <w:rPr>
          <w:rFonts w:eastAsia="仿宋" w:cs="宋体" w:hint="eastAsia" w:ascii="仿宋" w:hAnsi="仿宋"/>
          <w:bCs/>
          <w:color w:val="000000"/>
          <w:kern w:val="0"/>
          <w:sz w:val="32"/>
          <w:szCs w:val="32"/>
        </w:rPr>
        <w:t>1</w:t>
      </w:r>
      <w:r>
        <w:rPr>
          <w:rFonts w:ascii="仿宋" w:hAnsi="仿宋" w:cs="宋体" w:hint="eastAsia" w:eastAsia="仿宋"/>
          <w:bCs/>
          <w:color w:val="000000"/>
          <w:kern w:val="0"/>
          <w:sz w:val="32"/>
          <w:szCs w:val="32"/>
        </w:rPr>
        <w:t>日至</w:t>
      </w:r>
      <w:r>
        <w:rPr>
          <w:rFonts w:eastAsia="仿宋" w:cs="宋体" w:hint="eastAsia" w:ascii="仿宋" w:hAnsi="仿宋"/>
          <w:bCs/>
          <w:color w:val="000000"/>
          <w:kern w:val="0"/>
          <w:sz w:val="32"/>
          <w:szCs w:val="32"/>
        </w:rPr>
        <w:t>11</w:t>
      </w:r>
      <w:r>
        <w:rPr>
          <w:rFonts w:ascii="仿宋" w:hAnsi="仿宋" w:cs="宋体" w:hint="eastAsia" w:eastAsia="仿宋"/>
          <w:bCs/>
          <w:color w:val="000000"/>
          <w:kern w:val="0"/>
          <w:sz w:val="32"/>
          <w:szCs w:val="32"/>
        </w:rPr>
        <w:t>月</w:t>
      </w:r>
      <w:r>
        <w:rPr>
          <w:rFonts w:eastAsia="仿宋" w:cs="宋体" w:hint="eastAsia" w:ascii="仿宋" w:hAnsi="仿宋"/>
          <w:bCs/>
          <w:color w:val="000000"/>
          <w:kern w:val="0"/>
          <w:sz w:val="32"/>
          <w:szCs w:val="32"/>
        </w:rPr>
        <w:t>30</w:t>
      </w:r>
      <w:r>
        <w:rPr>
          <w:rFonts w:ascii="仿宋" w:hAnsi="仿宋" w:cs="宋体" w:hint="eastAsia" w:eastAsia="仿宋"/>
          <w:bCs/>
          <w:color w:val="000000"/>
          <w:kern w:val="0"/>
          <w:sz w:val="32"/>
          <w:szCs w:val="32"/>
        </w:rPr>
        <w:t>日为森林防火高火险期。高火险期内，禁止一切野外用火。</w:t>
      </w:r>
    </w:p>
    <w:p>
      <w:pPr>
        <w:pStyle w:val="Normal"/>
        <w:keepNext w:val="false"/>
        <w:keepLines w:val="false"/>
        <w:pageBreakBefore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宋体" w:hint="eastAsia"/>
          <w:bCs/>
          <w:color w:val="000000"/>
          <w:kern w:val="0"/>
          <w:sz w:val="32"/>
          <w:szCs w:val="32"/>
        </w:rPr>
      </w:pPr>
      <w:r>
        <w:rPr>
          <w:rFonts w:ascii="黑体" w:hAnsi="黑体" w:cs="宋体" w:hint="eastAsia" w:eastAsia="黑体"/>
          <w:bCs/>
          <w:color w:val="000000"/>
          <w:kern w:val="0"/>
          <w:sz w:val="32"/>
          <w:szCs w:val="32"/>
        </w:rPr>
        <w:t>第五条</w:t>
      </w:r>
      <w:r>
        <w:rPr>
          <w:rFonts w:ascii="仿宋" w:hAnsi="仿宋" w:cs="宋体" w:hint="eastAsia" w:eastAsia="仿宋"/>
          <w:bCs/>
          <w:color w:val="000000"/>
          <w:kern w:val="0"/>
          <w:sz w:val="32"/>
          <w:szCs w:val="32"/>
        </w:rPr>
        <w:t xml:space="preserve">  自治县按规划将应封山育林的禁伐林区、幼林地等特定区域划定为封山育林保护区，实行等级封闭管理。</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黑体" w:hAnsi="黑体" w:cs="宋体" w:hint="eastAsia" w:eastAsia="黑体"/>
          <w:bCs/>
          <w:color w:val="000000"/>
          <w:kern w:val="0"/>
          <w:sz w:val="32"/>
          <w:szCs w:val="32"/>
        </w:rPr>
        <w:t>第六条</w:t>
      </w:r>
      <w:r>
        <w:rPr>
          <w:rFonts w:ascii="仿宋" w:hAnsi="仿宋" w:cs="宋体" w:hint="eastAsia" w:eastAsia="仿宋"/>
          <w:bCs/>
          <w:color w:val="000000"/>
          <w:kern w:val="0"/>
          <w:sz w:val="32"/>
          <w:szCs w:val="32"/>
        </w:rPr>
        <w:t xml:space="preserve">  自治县森林病虫害防治和森林植物检疫机构负责森林病虫害的监测、预报、调查等防治工作和森林植物、林木、种苗及林产品的检疫工作，管控和扑灭疫情，监管处置疫木及其制品。 </w:t>
      </w:r>
    </w:p>
    <w:p>
      <w:pPr>
        <w:pStyle w:val="Normal"/>
        <w:keepNext w:val="false"/>
        <w:keepLines w:val="false"/>
        <w:pageBreakBefore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禁止运输、经营、加工未经检疫的木材、苗木、种子和林副产品。</w:t>
      </w:r>
    </w:p>
    <w:p>
      <w:pPr>
        <w:pStyle w:val="Normal"/>
        <w:keepNext w:val="false"/>
        <w:keepLines w:val="false"/>
        <w:pageBreakBefore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 xml:space="preserve">禁止违法运输、经营、加工和使用疫木及其制品。 </w:t>
      </w:r>
    </w:p>
    <w:p>
      <w:pPr>
        <w:pStyle w:val="Normal"/>
        <w:keepNext w:val="false"/>
        <w:keepLines w:val="false"/>
        <w:pageBreakBefore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 xml:space="preserve">禁止妨碍、阻挠除治疫木的行为。  </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第七条</w:t>
      </w:r>
      <w:r>
        <w:rPr>
          <w:rFonts w:ascii="仿宋" w:hAnsi="仿宋" w:cs="宋体" w:hint="eastAsia" w:eastAsia="仿宋"/>
          <w:color w:val="000000"/>
          <w:kern w:val="0"/>
          <w:sz w:val="32"/>
          <w:szCs w:val="32"/>
        </w:rPr>
        <w:t xml:space="preserve">  自治县禁止下列危害和破坏森林资源的行为：</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（一）扒剥活立木树皮和非法收购、加工大柴；</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（二）在幼林地、封山育林区和特种用途林内种植、放牧、养蚕、割柴草、割鹿柴和占坟地；</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（三）毁林开荒、开垦林地种植农作物及占用已开垦的林地重复种植农作物；</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（四）非法采挖、移植树木。</w:t>
      </w:r>
    </w:p>
    <w:p>
      <w:pPr>
        <w:pStyle w:val="Normal"/>
        <w:keepNext w:val="false"/>
        <w:keepLines w:val="false"/>
        <w:pageBreakBefore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第八条</w:t>
      </w:r>
      <w:r>
        <w:rPr>
          <w:rFonts w:ascii="仿宋" w:hAnsi="仿宋" w:cs="宋体" w:hint="eastAsia" w:eastAsia="仿宋"/>
          <w:color w:val="000000"/>
          <w:kern w:val="0"/>
          <w:sz w:val="32"/>
          <w:szCs w:val="32"/>
        </w:rPr>
        <w:t xml:space="preserve">  自治县境内征用、占用林地的单位和个人，应向林地、林木所有者支付林地、林木补偿费，并向林业主管部门预交森林植被恢复费。</w:t>
      </w:r>
      <w:r>
        <w:rPr>
          <w:rFonts w:eastAsia="仿宋" w:cs="宋体" w:hint="eastAsia" w:ascii="仿宋" w:hAnsi="仿宋"/>
          <w:color w:val="000000"/>
          <w:kern w:val="0"/>
          <w:sz w:val="32"/>
          <w:szCs w:val="32"/>
        </w:rPr>
        <w:br/>
        <w:t xml:space="preserve">    </w:t>
      </w:r>
      <w:r>
        <w:rPr>
          <w:rFonts w:ascii="仿宋" w:hAnsi="仿宋" w:cs="宋体" w:hint="eastAsia" w:eastAsia="仿宋"/>
          <w:color w:val="000000"/>
          <w:kern w:val="0"/>
          <w:sz w:val="32"/>
          <w:szCs w:val="32"/>
        </w:rPr>
        <w:t>流转森林资源的单位和个人，不得擅自改变林地用途。</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color w:val="000000"/>
          <w:kern w:val="0"/>
          <w:sz w:val="32"/>
          <w:szCs w:val="32"/>
        </w:rPr>
      </w:pPr>
      <w:r>
        <w:rPr>
          <w:rFonts w:ascii="黑体" w:hAnsi="黑体" w:cs="宋体" w:hint="eastAsia" w:eastAsia="黑体"/>
          <w:bCs/>
          <w:color w:val="000000"/>
          <w:kern w:val="0"/>
          <w:sz w:val="32"/>
          <w:szCs w:val="32"/>
        </w:rPr>
        <w:t xml:space="preserve">第九条 </w:t>
      </w:r>
      <w:r>
        <w:rPr>
          <w:rFonts w:ascii="仿宋" w:hAnsi="仿宋" w:cs="宋体" w:hint="eastAsia" w:eastAsia="仿宋"/>
          <w:bCs/>
          <w:color w:val="000000"/>
          <w:kern w:val="0"/>
          <w:sz w:val="32"/>
          <w:szCs w:val="32"/>
        </w:rPr>
        <w:t xml:space="preserve">  </w:t>
      </w:r>
      <w:r>
        <w:rPr>
          <w:rFonts w:ascii="仿宋" w:hAnsi="仿宋" w:cs="宋体" w:hint="eastAsia" w:eastAsia="仿宋"/>
          <w:color w:val="000000"/>
          <w:kern w:val="0"/>
          <w:sz w:val="32"/>
          <w:szCs w:val="32"/>
        </w:rPr>
        <w:t>自治县实行林木生产经营监管制度，对设计审批的森林采伐进行勘查验收，对木材的运输、加工、销售进行监督管理。运输本县产木材应持有记载起止地点和经由路线的木材运输证。</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0" w:firstLine="0" w:startChars="0" w:start="0" w:endChars="0" w:end="0"/>
        <w:jc w:val="start"/>
        <w:textAlignment w:val="auto"/>
        <w:rPr>
          <w:rFonts w:ascii="仿宋" w:hAnsi="仿宋" w:eastAsia="仿宋" w:cs="宋体" w:hint="eastAsia"/>
          <w:color w:val="000000"/>
          <w:kern w:val="0"/>
          <w:sz w:val="32"/>
          <w:szCs w:val="32"/>
        </w:rPr>
      </w:pPr>
      <w:r>
        <w:rPr>
          <w:rFonts w:eastAsia="仿宋" w:cs="宋体" w:hint="eastAsia" w:ascii="仿宋" w:hAnsi="仿宋"/>
          <w:color w:val="000000"/>
          <w:kern w:val="0"/>
          <w:sz w:val="32"/>
          <w:szCs w:val="32"/>
        </w:rPr>
        <w:t xml:space="preserve">    </w:t>
      </w:r>
      <w:r>
        <w:rPr>
          <w:rFonts w:ascii="仿宋" w:hAnsi="仿宋" w:cs="宋体" w:hint="eastAsia" w:eastAsia="仿宋"/>
          <w:color w:val="000000"/>
          <w:kern w:val="0"/>
          <w:sz w:val="32"/>
          <w:szCs w:val="32"/>
        </w:rPr>
        <w:t xml:space="preserve">禁止绕越木材检查站和伪装通过木材检查站逃避检查。                       </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 xml:space="preserve">禁止使用倒卖、转借的木材运输证。 </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黑体" w:hAnsi="黑体" w:cs="宋体" w:hint="eastAsia" w:eastAsia="黑体"/>
          <w:color w:val="000000"/>
          <w:kern w:val="0"/>
          <w:sz w:val="32"/>
          <w:szCs w:val="32"/>
        </w:rPr>
        <w:t xml:space="preserve">第十条   </w:t>
      </w:r>
      <w:r>
        <w:rPr>
          <w:rFonts w:ascii="仿宋" w:hAnsi="仿宋" w:cs="宋体" w:hint="eastAsia" w:eastAsia="仿宋"/>
          <w:bCs/>
          <w:color w:val="000000"/>
          <w:kern w:val="0"/>
          <w:sz w:val="32"/>
          <w:szCs w:val="32"/>
        </w:rPr>
        <w:t>自治县实行木材号印管理制度。 企业购买的木材，应在购入木材</w:t>
      </w:r>
      <w:r>
        <w:rPr>
          <w:rFonts w:eastAsia="仿宋" w:cs="宋体" w:hint="eastAsia" w:ascii="仿宋" w:hAnsi="仿宋"/>
          <w:bCs/>
          <w:color w:val="000000"/>
          <w:kern w:val="0"/>
          <w:sz w:val="32"/>
          <w:szCs w:val="32"/>
        </w:rPr>
        <w:t>5</w:t>
      </w:r>
      <w:r>
        <w:rPr>
          <w:rFonts w:ascii="仿宋" w:hAnsi="仿宋" w:cs="宋体" w:hint="eastAsia" w:eastAsia="仿宋"/>
          <w:bCs/>
          <w:color w:val="000000"/>
          <w:kern w:val="0"/>
          <w:sz w:val="32"/>
          <w:szCs w:val="32"/>
        </w:rPr>
        <w:t>日内持运输凭证向当地林业主管部门申报并现场查验，有合法来源木材无号印或号印不全的应申请补打号印。</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hint="eastAsia" w:eastAsia="仿宋"/>
          <w:kern w:val="0"/>
          <w:sz w:val="32"/>
          <w:szCs w:val="32"/>
        </w:rPr>
        <w:t>自治县出产的木材无检木号印的禁止运输、经营、加工。</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仿宋" w:hAnsi="仿宋" w:cs="宋体" w:hint="eastAsia" w:eastAsia="仿宋"/>
          <w:kern w:val="0"/>
          <w:sz w:val="32"/>
          <w:szCs w:val="32"/>
        </w:rPr>
        <w:t>禁止仿造、制售假检木号印或使用假冒检木号印打印木材；木材加工厂点内或运输的木材属自治县出产无号印或打印假冒号印的</w:t>
      </w:r>
      <w:r>
        <w:rPr>
          <w:rFonts w:ascii="仿宋" w:hAnsi="仿宋" w:cs="宋体" w:hint="eastAsia" w:eastAsia="仿宋"/>
          <w:bCs/>
          <w:color w:val="000000"/>
          <w:kern w:val="0"/>
          <w:sz w:val="32"/>
          <w:szCs w:val="32"/>
        </w:rPr>
        <w:t>按无合法来源木材查处。</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黑体" w:hAnsi="黑体" w:cs="宋体" w:hint="eastAsia" w:eastAsia="黑体"/>
          <w:bCs/>
          <w:color w:val="000000"/>
          <w:kern w:val="0"/>
          <w:sz w:val="32"/>
          <w:szCs w:val="32"/>
        </w:rPr>
        <w:t xml:space="preserve">第十一条 </w:t>
      </w:r>
      <w:r>
        <w:rPr>
          <w:rFonts w:ascii="仿宋" w:hAnsi="仿宋" w:cs="宋体" w:hint="eastAsia" w:eastAsia="仿宋"/>
          <w:bCs/>
          <w:color w:val="000000"/>
          <w:kern w:val="0"/>
          <w:sz w:val="32"/>
          <w:szCs w:val="32"/>
        </w:rPr>
        <w:t xml:space="preserve"> 自治县实行木材经营加工登记制度。</w:t>
      </w:r>
      <w:r>
        <w:rPr>
          <w:rFonts w:ascii="仿宋" w:hAnsi="仿宋" w:cs="宋体" w:hint="eastAsia" w:eastAsia="仿宋"/>
          <w:kern w:val="0"/>
          <w:sz w:val="32"/>
          <w:szCs w:val="32"/>
        </w:rPr>
        <w:t>市场监督管理部门应及时将木材经营加工企业登记信息推送林业主管部门</w:t>
      </w:r>
      <w:r>
        <w:rPr>
          <w:rFonts w:ascii="仿宋" w:hAnsi="仿宋" w:cs="宋体" w:hint="eastAsia" w:eastAsia="仿宋"/>
          <w:bCs/>
          <w:color w:val="000000"/>
          <w:kern w:val="0"/>
          <w:sz w:val="32"/>
          <w:szCs w:val="32"/>
        </w:rPr>
        <w:t>进行登记备案，企业经营者应在规定的经营范围内合法经营。</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黑体" w:hAnsi="黑体" w:cs="宋体" w:hint="eastAsia" w:eastAsia="黑体"/>
          <w:kern w:val="0"/>
          <w:sz w:val="32"/>
          <w:szCs w:val="32"/>
        </w:rPr>
        <w:t>第十二条</w:t>
      </w:r>
      <w:r>
        <w:rPr>
          <w:rFonts w:ascii="仿宋" w:hAnsi="仿宋" w:cs="宋体" w:hint="eastAsia" w:eastAsia="仿宋"/>
          <w:kern w:val="0"/>
          <w:sz w:val="32"/>
          <w:szCs w:val="32"/>
        </w:rPr>
        <w:t xml:space="preserve">  </w:t>
      </w:r>
      <w:r>
        <w:rPr>
          <w:rFonts w:ascii="仿宋" w:hAnsi="仿宋" w:cs="宋体" w:hint="eastAsia" w:eastAsia="仿宋"/>
          <w:bCs/>
          <w:color w:val="000000"/>
          <w:kern w:val="0"/>
          <w:sz w:val="32"/>
          <w:szCs w:val="32"/>
        </w:rPr>
        <w:t>自治县实行木材经营、加工台账管理制度。木材运输证是木材入库登记的有效凭证，记入木材经营、加工台账，并以此核发木材出库运输证。</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禁止使用伪造、涂改、转借的木材运输证虚假记载木材经营、加工台账。</w:t>
      </w:r>
    </w:p>
    <w:p>
      <w:pPr>
        <w:pStyle w:val="Normal"/>
        <w:keepNext w:val="false"/>
        <w:keepLines w:val="false"/>
        <w:pageBreakBefore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sz w:val="32"/>
          <w:szCs w:val="32"/>
        </w:rPr>
      </w:pPr>
      <w:r>
        <w:rPr>
          <w:rFonts w:ascii="黑体" w:hAnsi="黑体" w:cs="宋体" w:hint="eastAsia" w:eastAsia="黑体"/>
          <w:bCs/>
          <w:color w:val="000000"/>
          <w:kern w:val="0"/>
          <w:sz w:val="32"/>
          <w:szCs w:val="32"/>
        </w:rPr>
        <w:t>第十三条</w:t>
      </w:r>
      <w:r>
        <w:rPr>
          <w:rFonts w:ascii="仿宋" w:hAnsi="仿宋" w:cs="宋体" w:hint="eastAsia" w:eastAsia="仿宋"/>
          <w:bCs/>
          <w:color w:val="000000"/>
          <w:kern w:val="0"/>
          <w:sz w:val="32"/>
          <w:szCs w:val="32"/>
        </w:rPr>
        <w:t xml:space="preserve">  </w:t>
      </w:r>
      <w:r>
        <w:rPr>
          <w:rFonts w:ascii="仿宋" w:hAnsi="仿宋" w:cs="仿宋" w:hint="eastAsia" w:eastAsia="仿宋"/>
          <w:sz w:val="32"/>
          <w:szCs w:val="32"/>
        </w:rPr>
        <w:t>经省人民政府批准，自治县人民政府运输木材可在交通要道设立木材检查站。</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仿宋" w:hint="eastAsia"/>
          <w:sz w:val="32"/>
          <w:szCs w:val="32"/>
        </w:rPr>
      </w:pPr>
      <w:r>
        <w:rPr>
          <w:rFonts w:ascii="仿宋" w:hAnsi="仿宋" w:cs="仿宋" w:hint="eastAsia" w:eastAsia="仿宋"/>
          <w:sz w:val="32"/>
          <w:szCs w:val="32"/>
        </w:rPr>
        <w:t>自治县林业主管部门、森林公安部门可</w:t>
      </w:r>
      <w:r>
        <w:rPr>
          <w:rFonts w:ascii="仿宋" w:hAnsi="仿宋" w:cs="宋体" w:hint="eastAsia" w:eastAsia="仿宋"/>
          <w:bCs/>
          <w:color w:val="000000"/>
          <w:kern w:val="0"/>
          <w:sz w:val="32"/>
          <w:szCs w:val="32"/>
        </w:rPr>
        <w:t>依法对运输木材和其它林副产品的车辆进行流动检查。</w:t>
      </w:r>
      <w:r>
        <w:rPr>
          <w:rFonts w:ascii="仿宋" w:hAnsi="仿宋" w:cs="仿宋" w:hint="eastAsia" w:eastAsia="仿宋"/>
          <w:sz w:val="32"/>
          <w:szCs w:val="32"/>
        </w:rPr>
        <w:t>执勤人员必须佩戴和使用有关部门颁发的标志和证件。</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黑体" w:hAnsi="黑体" w:cs="宋体" w:hint="eastAsia" w:eastAsia="黑体"/>
          <w:bCs/>
          <w:color w:val="000000"/>
          <w:kern w:val="0"/>
          <w:sz w:val="32"/>
          <w:szCs w:val="32"/>
        </w:rPr>
        <w:t xml:space="preserve">第十四条 </w:t>
      </w:r>
      <w:r>
        <w:rPr>
          <w:rFonts w:ascii="仿宋" w:hAnsi="仿宋" w:cs="宋体" w:hint="eastAsia" w:eastAsia="仿宋"/>
          <w:bCs/>
          <w:color w:val="000000"/>
          <w:kern w:val="0"/>
          <w:sz w:val="32"/>
          <w:szCs w:val="32"/>
        </w:rPr>
        <w:t xml:space="preserve"> 自治县人民政府对下列单位或个人给予表彰和奖励</w:t>
      </w:r>
      <w:r>
        <w:rPr>
          <w:rFonts w:eastAsia="仿宋" w:cs="宋体" w:hint="eastAsia" w:ascii="仿宋" w:hAnsi="仿宋"/>
          <w:bCs/>
          <w:color w:val="000000"/>
          <w:kern w:val="0"/>
          <w:sz w:val="32"/>
          <w:szCs w:val="32"/>
        </w:rPr>
        <w:t>,</w:t>
      </w:r>
      <w:r>
        <w:rPr>
          <w:rFonts w:ascii="仿宋" w:hAnsi="仿宋" w:cs="宋体" w:hint="eastAsia" w:eastAsia="仿宋"/>
          <w:bCs/>
          <w:color w:val="000000"/>
          <w:kern w:val="0"/>
          <w:sz w:val="32"/>
          <w:szCs w:val="32"/>
        </w:rPr>
        <w:t>具体奖励标准由自治县人民政府制定。</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100" w:startChars="0" w:start="0" w:endChars="0" w:end="0"/>
        <w:jc w:val="start"/>
        <w:textAlignment w:val="auto"/>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（一）保护森林资源取得显著成绩的；</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100" w:startChars="0" w:start="0" w:endChars="0" w:end="0"/>
        <w:jc w:val="start"/>
        <w:textAlignment w:val="auto"/>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（二）扑救森林火灾有重大突出贡献的；</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100" w:startChars="0" w:start="0" w:endChars="0" w:end="0"/>
        <w:jc w:val="start"/>
        <w:textAlignment w:val="auto"/>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（三）</w:t>
      </w:r>
      <w:r>
        <w:rPr>
          <w:rFonts w:ascii="仿宋" w:hAnsi="仿宋" w:cs="宋体" w:hint="eastAsia" w:eastAsia="仿宋"/>
          <w:color w:val="000000"/>
          <w:kern w:val="0"/>
          <w:sz w:val="32"/>
          <w:szCs w:val="32"/>
        </w:rPr>
        <w:t>检举揭发盗伐滥伐林木、非法运输木材</w:t>
      </w:r>
      <w:r>
        <w:rPr>
          <w:rFonts w:ascii="仿宋" w:hAnsi="仿宋" w:cs="宋体" w:hint="eastAsia" w:eastAsia="仿宋"/>
          <w:bCs/>
          <w:color w:val="000000"/>
          <w:kern w:val="0"/>
          <w:sz w:val="32"/>
          <w:szCs w:val="32"/>
        </w:rPr>
        <w:t>和破坏林地</w:t>
      </w:r>
      <w:r>
        <w:rPr>
          <w:rFonts w:ascii="仿宋" w:hAnsi="仿宋" w:cs="宋体" w:hint="eastAsia" w:eastAsia="仿宋"/>
          <w:color w:val="000000"/>
          <w:kern w:val="0"/>
          <w:sz w:val="32"/>
          <w:szCs w:val="32"/>
        </w:rPr>
        <w:t>的行为，使国家、集体和个人财产免遭重大损失的。</w:t>
      </w:r>
    </w:p>
    <w:p>
      <w:pPr>
        <w:pStyle w:val="Normal"/>
        <w:keepNext w:val="false"/>
        <w:keepLines w:val="false"/>
        <w:pageBreakBefore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_GB2312" w:hint="eastAsia"/>
          <w:sz w:val="32"/>
          <w:szCs w:val="32"/>
        </w:rPr>
      </w:pPr>
      <w:r>
        <w:rPr>
          <w:rFonts w:ascii="黑体" w:hAnsi="黑体" w:cs="宋体" w:hint="eastAsia" w:eastAsia="黑体"/>
          <w:color w:val="000000"/>
          <w:kern w:val="0"/>
          <w:sz w:val="32"/>
          <w:szCs w:val="32"/>
        </w:rPr>
        <w:t xml:space="preserve">第十五条  </w:t>
      </w:r>
      <w:r>
        <w:rPr>
          <w:rFonts w:ascii="仿宋" w:hAnsi="仿宋" w:cs="宋体" w:hint="eastAsia" w:eastAsia="仿宋"/>
          <w:color w:val="000000"/>
          <w:kern w:val="0"/>
          <w:sz w:val="32"/>
          <w:szCs w:val="32"/>
        </w:rPr>
        <w:t>违反本条例第四条规定，</w:t>
      </w:r>
      <w:r>
        <w:rPr>
          <w:rFonts w:ascii="仿宋" w:hAnsi="仿宋" w:cs="宋体" w:hint="eastAsia" w:eastAsia="仿宋"/>
          <w:bCs/>
          <w:color w:val="000000"/>
          <w:kern w:val="0"/>
          <w:sz w:val="32"/>
          <w:szCs w:val="32"/>
        </w:rPr>
        <w:t>森林防火高火险期内在野外用火的，</w:t>
      </w:r>
      <w:r>
        <w:rPr>
          <w:rFonts w:ascii="仿宋" w:hAnsi="仿宋" w:cs="仿宋_GB2312" w:hint="eastAsia" w:eastAsia="仿宋"/>
          <w:sz w:val="32"/>
          <w:szCs w:val="32"/>
        </w:rPr>
        <w:t>责令停止违法行为，给予警告，对在大田地用火的并处</w:t>
      </w:r>
      <w:r>
        <w:rPr>
          <w:rFonts w:eastAsia="仿宋" w:cs="仿宋_GB2312" w:hint="eastAsia" w:ascii="仿宋" w:hAnsi="仿宋"/>
          <w:sz w:val="32"/>
          <w:szCs w:val="32"/>
        </w:rPr>
        <w:t>500</w:t>
      </w:r>
      <w:r>
        <w:rPr>
          <w:rFonts w:ascii="仿宋" w:hAnsi="仿宋" w:cs="仿宋_GB2312" w:hint="eastAsia" w:eastAsia="仿宋"/>
          <w:sz w:val="32"/>
          <w:szCs w:val="32"/>
        </w:rPr>
        <w:t>元罚款，对在林缘地用火的并处</w:t>
      </w:r>
      <w:r>
        <w:rPr>
          <w:rFonts w:eastAsia="仿宋" w:cs="仿宋_GB2312" w:hint="eastAsia" w:ascii="仿宋" w:hAnsi="仿宋"/>
          <w:sz w:val="32"/>
          <w:szCs w:val="32"/>
        </w:rPr>
        <w:t>1000</w:t>
      </w:r>
      <w:r>
        <w:rPr>
          <w:rFonts w:ascii="仿宋" w:hAnsi="仿宋" w:cs="仿宋_GB2312" w:hint="eastAsia" w:eastAsia="仿宋"/>
          <w:sz w:val="32"/>
          <w:szCs w:val="32"/>
        </w:rPr>
        <w:t xml:space="preserve">元罚款；  </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仿宋" w:hAnsi="仿宋" w:cs="仿宋_GB2312" w:hint="eastAsia" w:eastAsia="仿宋"/>
          <w:sz w:val="32"/>
          <w:szCs w:val="32"/>
        </w:rPr>
        <w:t>对引起火情的处</w:t>
      </w:r>
      <w:r>
        <w:rPr>
          <w:rFonts w:eastAsia="仿宋" w:cs="仿宋_GB2312" w:hint="eastAsia" w:ascii="仿宋" w:hAnsi="仿宋"/>
          <w:sz w:val="32"/>
          <w:szCs w:val="32"/>
        </w:rPr>
        <w:t>3000</w:t>
      </w:r>
      <w:r>
        <w:rPr>
          <w:rFonts w:ascii="仿宋" w:hAnsi="仿宋" w:cs="仿宋_GB2312" w:hint="eastAsia" w:eastAsia="仿宋"/>
          <w:sz w:val="32"/>
          <w:szCs w:val="32"/>
        </w:rPr>
        <w:t>元罚款，</w:t>
      </w:r>
      <w:r>
        <w:rPr>
          <w:rFonts w:ascii="仿宋" w:hAnsi="仿宋" w:cs="宋体" w:hint="eastAsia" w:eastAsia="仿宋"/>
          <w:bCs/>
          <w:color w:val="000000"/>
          <w:kern w:val="0"/>
          <w:sz w:val="32"/>
          <w:szCs w:val="32"/>
        </w:rPr>
        <w:t>承担扑火费用</w:t>
      </w:r>
      <w:r>
        <w:rPr>
          <w:rFonts w:ascii="仿宋" w:hAnsi="仿宋" w:cs="仿宋_GB2312" w:hint="eastAsia" w:eastAsia="仿宋"/>
          <w:sz w:val="32"/>
          <w:szCs w:val="32"/>
        </w:rPr>
        <w:t>，</w:t>
      </w:r>
      <w:r>
        <w:rPr>
          <w:rFonts w:ascii="仿宋" w:hAnsi="仿宋" w:cs="宋体" w:hint="eastAsia" w:eastAsia="仿宋"/>
          <w:bCs/>
          <w:color w:val="000000"/>
          <w:kern w:val="0"/>
          <w:sz w:val="32"/>
          <w:szCs w:val="32"/>
        </w:rPr>
        <w:t>烧毁树木的赔偿实际损失，并处树木价值一倍的罚款。</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黑体" w:hAnsi="黑体" w:cs="宋体" w:hint="eastAsia" w:eastAsia="黑体"/>
          <w:bCs/>
          <w:color w:val="000000"/>
          <w:kern w:val="0"/>
          <w:sz w:val="32"/>
          <w:szCs w:val="32"/>
        </w:rPr>
        <w:t>第十六条</w:t>
      </w:r>
      <w:r>
        <w:rPr>
          <w:rFonts w:ascii="仿宋" w:hAnsi="仿宋" w:cs="宋体" w:hint="eastAsia" w:eastAsia="仿宋"/>
          <w:bCs/>
          <w:color w:val="000000"/>
          <w:kern w:val="0"/>
          <w:sz w:val="32"/>
          <w:szCs w:val="32"/>
        </w:rPr>
        <w:t xml:space="preserve">  违反本条例第六条规定，给予下列处罚：</w:t>
      </w:r>
    </w:p>
    <w:p>
      <w:pPr>
        <w:pStyle w:val="Normal"/>
        <w:keepNext w:val="false"/>
        <w:keepLines w:val="false"/>
        <w:pageBreakBefore w:val="false"/>
        <w:shd w:fill="FFFFFF" w:val="clear"/>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Arial" w:hint="eastAsia"/>
          <w:sz w:val="32"/>
          <w:szCs w:val="32"/>
        </w:rPr>
      </w:pPr>
      <w:r>
        <w:rPr>
          <w:rFonts w:ascii="仿宋" w:hAnsi="仿宋" w:cs="宋体" w:hint="eastAsia" w:eastAsia="仿宋"/>
          <w:bCs/>
          <w:color w:val="000000"/>
          <w:kern w:val="0"/>
          <w:sz w:val="32"/>
          <w:szCs w:val="32"/>
        </w:rPr>
        <w:t>（一）运输、经营、加工未经检疫的木材、苗木、种子及林产品的</w:t>
      </w:r>
      <w:r>
        <w:rPr>
          <w:rFonts w:ascii="仿宋" w:hAnsi="仿宋" w:cs="宋体" w:hint="eastAsia" w:eastAsia="仿宋"/>
          <w:bCs/>
          <w:kern w:val="0"/>
          <w:sz w:val="32"/>
          <w:szCs w:val="32"/>
        </w:rPr>
        <w:t>，</w:t>
      </w:r>
      <w:r>
        <w:rPr>
          <w:rFonts w:ascii="仿宋" w:hAnsi="仿宋" w:cs="Arial" w:eastAsia="仿宋"/>
          <w:sz w:val="32"/>
          <w:szCs w:val="32"/>
        </w:rPr>
        <w:t>应当予以封存、补检，并处</w:t>
      </w:r>
      <w:r>
        <w:rPr>
          <w:rFonts w:ascii="仿宋" w:hAnsi="仿宋" w:cs="宋体" w:hint="eastAsia" w:eastAsia="仿宋"/>
          <w:bCs/>
          <w:color w:val="000000"/>
          <w:kern w:val="0"/>
          <w:sz w:val="32"/>
          <w:szCs w:val="32"/>
        </w:rPr>
        <w:t>木材、苗木、种子及林产品的</w:t>
      </w:r>
      <w:r>
        <w:rPr>
          <w:rFonts w:ascii="仿宋" w:hAnsi="仿宋" w:cs="Arial" w:hint="eastAsia" w:eastAsia="仿宋"/>
          <w:sz w:val="32"/>
          <w:szCs w:val="32"/>
        </w:rPr>
        <w:t>价值</w:t>
      </w:r>
      <w:r>
        <w:rPr>
          <w:rFonts w:eastAsia="仿宋" w:cs="Arial" w:hint="eastAsia" w:ascii="仿宋" w:hAnsi="仿宋"/>
          <w:sz w:val="32"/>
          <w:szCs w:val="32"/>
        </w:rPr>
        <w:t>30%</w:t>
      </w:r>
      <w:r>
        <w:rPr>
          <w:rFonts w:ascii="仿宋" w:hAnsi="仿宋" w:cs="Arial" w:hint="eastAsia" w:eastAsia="仿宋"/>
          <w:sz w:val="32"/>
          <w:szCs w:val="32"/>
        </w:rPr>
        <w:t>的</w:t>
      </w:r>
      <w:r>
        <w:rPr>
          <w:rFonts w:ascii="仿宋" w:hAnsi="仿宋" w:cs="Arial" w:eastAsia="仿宋"/>
          <w:sz w:val="32"/>
          <w:szCs w:val="32"/>
        </w:rPr>
        <w:t>罚款</w:t>
      </w:r>
      <w:r>
        <w:rPr>
          <w:rFonts w:ascii="仿宋" w:hAnsi="仿宋" w:cs="Arial" w:hint="eastAsia" w:eastAsia="仿宋"/>
          <w:sz w:val="32"/>
          <w:szCs w:val="32"/>
        </w:rPr>
        <w:t>。</w:t>
      </w:r>
      <w:r>
        <w:rPr>
          <w:rFonts w:ascii="仿宋" w:hAnsi="仿宋" w:cs="Arial" w:eastAsia="仿宋"/>
          <w:sz w:val="32"/>
          <w:szCs w:val="32"/>
        </w:rPr>
        <w:t>经检疫带有检疫对象的，应当进行除害处理，无法进行除害处理的，予以销毁或者责令其改变用途。</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（二）违法违规运输、经营、加工和使用疫木及其制品的，没收其全部木材及其制品，并处木材及其制品价值一倍的罚款。</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（三）妨碍、阻挠除治疫木行为的，责令停止违法行为，并处</w:t>
      </w:r>
      <w:r>
        <w:rPr>
          <w:rFonts w:eastAsia="仿宋" w:cs="宋体" w:hint="eastAsia" w:ascii="仿宋" w:hAnsi="仿宋"/>
          <w:bCs/>
          <w:color w:val="000000"/>
          <w:kern w:val="0"/>
          <w:sz w:val="32"/>
          <w:szCs w:val="32"/>
        </w:rPr>
        <w:t>3000</w:t>
      </w:r>
      <w:r>
        <w:rPr>
          <w:rFonts w:ascii="仿宋" w:hAnsi="仿宋" w:cs="宋体" w:hint="eastAsia" w:eastAsia="仿宋"/>
          <w:bCs/>
          <w:color w:val="000000"/>
          <w:kern w:val="0"/>
          <w:sz w:val="32"/>
          <w:szCs w:val="32"/>
        </w:rPr>
        <w:t>元罚款。</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第十七条</w:t>
      </w:r>
      <w:r>
        <w:rPr>
          <w:rFonts w:ascii="仿宋" w:hAnsi="仿宋" w:cs="宋体" w:hint="eastAsia" w:eastAsia="仿宋"/>
          <w:color w:val="000000"/>
          <w:kern w:val="0"/>
          <w:sz w:val="32"/>
          <w:szCs w:val="32"/>
        </w:rPr>
        <w:t xml:space="preserve">  违反本条例第七条规定，给予下列处罚：</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仿宋" w:hAnsi="仿宋" w:cs="宋体" w:hint="eastAsia" w:eastAsia="仿宋"/>
          <w:color w:val="000000"/>
          <w:kern w:val="0"/>
          <w:sz w:val="32"/>
          <w:szCs w:val="32"/>
        </w:rPr>
        <w:t>（一）</w:t>
      </w:r>
      <w:r>
        <w:rPr>
          <w:rFonts w:ascii="仿宋" w:hAnsi="仿宋" w:cs="宋体" w:hint="eastAsia" w:eastAsia="仿宋"/>
          <w:bCs/>
          <w:color w:val="000000"/>
          <w:kern w:val="0"/>
          <w:sz w:val="32"/>
          <w:szCs w:val="32"/>
        </w:rPr>
        <w:t>扒剥活立木树皮的，没收树皮，并以每</w:t>
      </w:r>
      <w:r>
        <w:rPr>
          <w:rFonts w:eastAsia="仿宋" w:cs="宋体" w:hint="eastAsia" w:ascii="仿宋" w:hAnsi="仿宋"/>
          <w:bCs/>
          <w:color w:val="000000"/>
          <w:kern w:val="0"/>
          <w:sz w:val="32"/>
          <w:szCs w:val="32"/>
        </w:rPr>
        <w:t>15</w:t>
      </w:r>
      <w:r>
        <w:rPr>
          <w:rFonts w:ascii="仿宋" w:hAnsi="仿宋" w:cs="宋体" w:hint="eastAsia" w:eastAsia="仿宋"/>
          <w:bCs/>
          <w:color w:val="000000"/>
          <w:kern w:val="0"/>
          <w:sz w:val="32"/>
          <w:szCs w:val="32"/>
        </w:rPr>
        <w:t>公斤干树皮或</w:t>
      </w:r>
      <w:r>
        <w:rPr>
          <w:rFonts w:eastAsia="仿宋" w:cs="宋体" w:hint="eastAsia" w:ascii="仿宋" w:hAnsi="仿宋"/>
          <w:bCs/>
          <w:color w:val="000000"/>
          <w:kern w:val="0"/>
          <w:sz w:val="32"/>
          <w:szCs w:val="32"/>
        </w:rPr>
        <w:t>25</w:t>
      </w:r>
      <w:r>
        <w:rPr>
          <w:rFonts w:ascii="仿宋" w:hAnsi="仿宋" w:cs="宋体" w:hint="eastAsia" w:eastAsia="仿宋"/>
          <w:bCs/>
          <w:color w:val="000000"/>
          <w:kern w:val="0"/>
          <w:sz w:val="32"/>
          <w:szCs w:val="32"/>
        </w:rPr>
        <w:t>公斤鲜树皮折合</w:t>
      </w:r>
      <w:r>
        <w:rPr>
          <w:rFonts w:eastAsia="仿宋" w:cs="宋体" w:hint="eastAsia" w:ascii="仿宋" w:hAnsi="仿宋"/>
          <w:bCs/>
          <w:color w:val="000000"/>
          <w:kern w:val="0"/>
          <w:sz w:val="32"/>
          <w:szCs w:val="32"/>
        </w:rPr>
        <w:t>1</w:t>
      </w:r>
      <w:r>
        <w:rPr>
          <w:rFonts w:ascii="仿宋" w:hAnsi="仿宋" w:cs="宋体" w:hint="eastAsia" w:eastAsia="仿宋"/>
          <w:bCs/>
          <w:color w:val="000000"/>
          <w:kern w:val="0"/>
          <w:sz w:val="32"/>
          <w:szCs w:val="32"/>
        </w:rPr>
        <w:t>立方米木材计算，处以木材价值</w:t>
      </w:r>
      <w:r>
        <w:rPr>
          <w:rFonts w:eastAsia="仿宋" w:cs="宋体" w:hint="eastAsia" w:ascii="仿宋" w:hAnsi="仿宋"/>
          <w:bCs/>
          <w:color w:val="000000"/>
          <w:kern w:val="0"/>
          <w:sz w:val="32"/>
          <w:szCs w:val="32"/>
        </w:rPr>
        <w:t>3</w:t>
      </w:r>
      <w:r>
        <w:rPr>
          <w:rFonts w:ascii="仿宋" w:hAnsi="仿宋" w:cs="宋体" w:hint="eastAsia" w:eastAsia="仿宋"/>
          <w:bCs/>
          <w:color w:val="000000"/>
          <w:kern w:val="0"/>
          <w:sz w:val="32"/>
          <w:szCs w:val="32"/>
        </w:rPr>
        <w:t>倍的罚款。非法收购、加工大柴的，没收大柴及违法所得，并处大柴价值</w:t>
      </w:r>
      <w:r>
        <w:rPr>
          <w:rFonts w:eastAsia="仿宋" w:cs="宋体" w:hint="eastAsia" w:ascii="仿宋" w:hAnsi="仿宋"/>
          <w:bCs/>
          <w:color w:val="000000"/>
          <w:kern w:val="0"/>
          <w:sz w:val="32"/>
          <w:szCs w:val="32"/>
        </w:rPr>
        <w:t>30%</w:t>
      </w:r>
      <w:r>
        <w:rPr>
          <w:rFonts w:ascii="仿宋" w:hAnsi="仿宋" w:cs="宋体" w:hint="eastAsia" w:eastAsia="仿宋"/>
          <w:bCs/>
          <w:color w:val="000000"/>
          <w:kern w:val="0"/>
          <w:sz w:val="32"/>
          <w:szCs w:val="32"/>
        </w:rPr>
        <w:t>的罚款。</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（二）在幼林地、封山育林区、特种用途林内种植、放牧、养蚕、割柴草、割鹿柴、占坟地的，责令停止违法行为，给予警告，并处</w:t>
      </w:r>
      <w:r>
        <w:rPr>
          <w:rFonts w:eastAsia="仿宋" w:cs="宋体" w:hint="eastAsia" w:ascii="仿宋" w:hAnsi="仿宋"/>
          <w:bCs/>
          <w:color w:val="000000"/>
          <w:kern w:val="0"/>
          <w:sz w:val="32"/>
          <w:szCs w:val="32"/>
        </w:rPr>
        <w:t>500</w:t>
      </w:r>
      <w:r>
        <w:rPr>
          <w:rFonts w:ascii="仿宋" w:hAnsi="仿宋" w:cs="宋体" w:hint="eastAsia" w:eastAsia="仿宋"/>
          <w:bCs/>
          <w:color w:val="000000"/>
          <w:kern w:val="0"/>
          <w:sz w:val="32"/>
          <w:szCs w:val="32"/>
        </w:rPr>
        <w:t>元罚款。</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（三）毁林开荒的，予以平毁，依法赔偿损失，补种毁坏株数</w:t>
      </w:r>
      <w:r>
        <w:rPr>
          <w:rFonts w:eastAsia="仿宋" w:cs="宋体" w:hint="eastAsia" w:ascii="仿宋" w:hAnsi="仿宋"/>
          <w:bCs/>
          <w:color w:val="000000"/>
          <w:kern w:val="0"/>
          <w:sz w:val="32"/>
          <w:szCs w:val="32"/>
        </w:rPr>
        <w:t>3</w:t>
      </w:r>
      <w:r>
        <w:rPr>
          <w:rFonts w:ascii="仿宋" w:hAnsi="仿宋" w:cs="宋体" w:hint="eastAsia" w:eastAsia="仿宋"/>
          <w:bCs/>
          <w:color w:val="000000"/>
          <w:kern w:val="0"/>
          <w:sz w:val="32"/>
          <w:szCs w:val="32"/>
        </w:rPr>
        <w:t>倍的树木，并处以毁坏林木价值</w:t>
      </w:r>
      <w:r>
        <w:rPr>
          <w:rFonts w:eastAsia="仿宋" w:cs="宋体" w:hint="eastAsia" w:ascii="仿宋" w:hAnsi="仿宋"/>
          <w:bCs/>
          <w:color w:val="000000"/>
          <w:kern w:val="0"/>
          <w:sz w:val="32"/>
          <w:szCs w:val="32"/>
        </w:rPr>
        <w:t>5</w:t>
      </w:r>
      <w:r>
        <w:rPr>
          <w:rFonts w:ascii="仿宋" w:hAnsi="仿宋" w:cs="宋体" w:hint="eastAsia" w:eastAsia="仿宋"/>
          <w:bCs/>
          <w:color w:val="000000"/>
          <w:kern w:val="0"/>
          <w:sz w:val="32"/>
          <w:szCs w:val="32"/>
        </w:rPr>
        <w:t>倍的罚款；</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非法开垦林地种植的，责令停止违法行为，种植物予以平毁，</w:t>
      </w:r>
      <w:r>
        <w:rPr>
          <w:rFonts w:ascii="仿宋" w:hAnsi="仿宋" w:cs="宋体" w:eastAsia="仿宋"/>
          <w:kern w:val="0"/>
          <w:sz w:val="32"/>
          <w:szCs w:val="32"/>
        </w:rPr>
        <w:t>限期</w:t>
      </w:r>
      <w:r>
        <w:rPr>
          <w:rFonts w:ascii="仿宋" w:hAnsi="仿宋" w:cs="宋体" w:hint="eastAsia" w:eastAsia="仿宋"/>
          <w:kern w:val="0"/>
          <w:sz w:val="32"/>
          <w:szCs w:val="32"/>
        </w:rPr>
        <w:t>还林还草</w:t>
      </w:r>
      <w:r>
        <w:rPr>
          <w:rFonts w:ascii="仿宋" w:hAnsi="仿宋" w:cs="宋体" w:hint="eastAsia" w:eastAsia="仿宋"/>
          <w:bCs/>
          <w:color w:val="000000"/>
          <w:kern w:val="0"/>
          <w:sz w:val="32"/>
          <w:szCs w:val="32"/>
        </w:rPr>
        <w:t>，并处以</w:t>
      </w:r>
      <w:r>
        <w:rPr>
          <w:rFonts w:ascii="仿宋" w:hAnsi="仿宋" w:cs="宋体" w:eastAsia="仿宋"/>
          <w:kern w:val="0"/>
          <w:sz w:val="32"/>
          <w:szCs w:val="32"/>
        </w:rPr>
        <w:t>非法开垦林地</w:t>
      </w:r>
      <w:r>
        <w:rPr>
          <w:rFonts w:ascii="仿宋" w:hAnsi="仿宋" w:cs="宋体" w:hint="eastAsia" w:eastAsia="仿宋"/>
          <w:bCs/>
          <w:color w:val="000000"/>
          <w:kern w:val="0"/>
          <w:sz w:val="32"/>
          <w:szCs w:val="32"/>
        </w:rPr>
        <w:t>每平方米</w:t>
      </w:r>
      <w:r>
        <w:rPr>
          <w:rFonts w:eastAsia="仿宋" w:cs="宋体" w:hint="eastAsia" w:ascii="仿宋" w:hAnsi="仿宋"/>
          <w:bCs/>
          <w:color w:val="000000"/>
          <w:kern w:val="0"/>
          <w:sz w:val="32"/>
          <w:szCs w:val="32"/>
        </w:rPr>
        <w:t>10</w:t>
      </w:r>
      <w:r>
        <w:rPr>
          <w:rFonts w:ascii="仿宋" w:hAnsi="仿宋" w:cs="宋体" w:hint="eastAsia" w:eastAsia="仿宋"/>
          <w:bCs/>
          <w:color w:val="000000"/>
          <w:kern w:val="0"/>
          <w:sz w:val="32"/>
          <w:szCs w:val="32"/>
        </w:rPr>
        <w:t>元罚款；</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占用已开垦林地重复种植的，责令停止违法行为，种植物予以平毁，限期还林还草，并处以每平方米</w:t>
      </w:r>
      <w:r>
        <w:rPr>
          <w:rFonts w:eastAsia="仿宋" w:cs="宋体" w:hint="eastAsia" w:ascii="仿宋" w:hAnsi="仿宋"/>
          <w:bCs/>
          <w:color w:val="000000"/>
          <w:kern w:val="0"/>
          <w:sz w:val="32"/>
          <w:szCs w:val="32"/>
        </w:rPr>
        <w:t>2</w:t>
      </w:r>
      <w:r>
        <w:rPr>
          <w:rFonts w:ascii="仿宋" w:hAnsi="仿宋" w:cs="宋体" w:hint="eastAsia" w:eastAsia="仿宋"/>
          <w:bCs/>
          <w:color w:val="000000"/>
          <w:kern w:val="0"/>
          <w:sz w:val="32"/>
          <w:szCs w:val="32"/>
        </w:rPr>
        <w:t>元罚款。</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对到期拒不恢复还林还草的，应交纳恢复费用，由</w:t>
      </w:r>
      <w:r>
        <w:rPr>
          <w:rFonts w:ascii="仿宋" w:hAnsi="仿宋" w:cs="宋体" w:eastAsia="仿宋"/>
          <w:kern w:val="0"/>
          <w:sz w:val="32"/>
          <w:szCs w:val="32"/>
        </w:rPr>
        <w:t>县级以上人民政府林业主管部门组织代为</w:t>
      </w:r>
      <w:r>
        <w:rPr>
          <w:rFonts w:ascii="仿宋" w:hAnsi="仿宋" w:cs="宋体" w:hint="eastAsia" w:eastAsia="仿宋"/>
          <w:bCs/>
          <w:color w:val="000000"/>
          <w:kern w:val="0"/>
          <w:sz w:val="32"/>
          <w:szCs w:val="32"/>
        </w:rPr>
        <w:t>恢复还林还草。</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仿宋" w:hAnsi="仿宋" w:cs="宋体" w:eastAsia="仿宋"/>
          <w:kern w:val="0"/>
          <w:sz w:val="32"/>
          <w:szCs w:val="32"/>
        </w:rPr>
        <w:t>拒不补种树木或者补种不符合国家有关规定的，由县级以上人民政府林业主管部门组织代为补种，所需费用由违法者支付。</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仿宋" w:hAnsi="仿宋" w:cs="宋体" w:hint="eastAsia" w:eastAsia="仿宋"/>
          <w:bCs/>
          <w:color w:val="000000"/>
          <w:kern w:val="0"/>
          <w:sz w:val="32"/>
          <w:szCs w:val="32"/>
        </w:rPr>
        <w:t>（四）非法采挖、移植树木的，按照盗伐、滥伐林木予以处罚。</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黑体" w:hAnsi="黑体" w:cs="宋体" w:hint="eastAsia" w:eastAsia="黑体"/>
          <w:bCs/>
          <w:color w:val="000000"/>
          <w:kern w:val="0"/>
          <w:sz w:val="32"/>
          <w:szCs w:val="32"/>
        </w:rPr>
        <w:t>第十八条</w:t>
      </w:r>
      <w:r>
        <w:rPr>
          <w:rFonts w:ascii="仿宋" w:hAnsi="仿宋" w:cs="宋体" w:hint="eastAsia" w:eastAsia="仿宋"/>
          <w:bCs/>
          <w:color w:val="000000"/>
          <w:kern w:val="0"/>
          <w:sz w:val="32"/>
          <w:szCs w:val="32"/>
        </w:rPr>
        <w:t xml:space="preserve">  违反本条例第八条规定，</w:t>
      </w:r>
      <w:r>
        <w:rPr>
          <w:rFonts w:ascii="仿宋" w:hAnsi="仿宋" w:cs="宋体" w:eastAsia="仿宋"/>
          <w:kern w:val="0"/>
          <w:sz w:val="32"/>
          <w:szCs w:val="32"/>
        </w:rPr>
        <w:t>未经</w:t>
      </w:r>
      <w:r>
        <w:rPr>
          <w:rFonts w:ascii="仿宋" w:hAnsi="仿宋" w:cs="宋体" w:hint="eastAsia" w:eastAsia="仿宋"/>
          <w:kern w:val="0"/>
          <w:sz w:val="32"/>
          <w:szCs w:val="32"/>
        </w:rPr>
        <w:t>自治县管辖的林地</w:t>
      </w:r>
      <w:r>
        <w:rPr>
          <w:rFonts w:ascii="仿宋" w:hAnsi="仿宋" w:cs="宋体" w:eastAsia="仿宋"/>
          <w:kern w:val="0"/>
          <w:sz w:val="32"/>
          <w:szCs w:val="32"/>
        </w:rPr>
        <w:t>林业主管部门审核同意，擅自改变林地用途的，责令限期恢复</w:t>
      </w:r>
      <w:r>
        <w:rPr>
          <w:rFonts w:ascii="仿宋" w:hAnsi="仿宋" w:cs="宋体" w:hint="eastAsia" w:eastAsia="仿宋"/>
          <w:bCs/>
          <w:color w:val="000000"/>
          <w:kern w:val="0"/>
          <w:sz w:val="32"/>
          <w:szCs w:val="32"/>
        </w:rPr>
        <w:t>林业生产条件还林还草</w:t>
      </w:r>
      <w:r>
        <w:rPr>
          <w:rFonts w:ascii="仿宋" w:hAnsi="仿宋" w:cs="宋体" w:eastAsia="仿宋"/>
          <w:kern w:val="0"/>
          <w:sz w:val="32"/>
          <w:szCs w:val="32"/>
        </w:rPr>
        <w:t>，并处非法改变用途林地每平方米</w:t>
      </w:r>
      <w:r>
        <w:rPr>
          <w:rFonts w:eastAsia="仿宋" w:cs="宋体" w:ascii="仿宋" w:hAnsi="仿宋"/>
          <w:kern w:val="0"/>
          <w:sz w:val="32"/>
          <w:szCs w:val="32"/>
        </w:rPr>
        <w:t>30</w:t>
      </w:r>
      <w:r>
        <w:rPr>
          <w:rFonts w:ascii="仿宋" w:hAnsi="仿宋" w:cs="宋体" w:eastAsia="仿宋"/>
          <w:kern w:val="0"/>
          <w:sz w:val="32"/>
          <w:szCs w:val="32"/>
        </w:rPr>
        <w:t>元的罚款。</w:t>
      </w:r>
      <w:r>
        <w:rPr>
          <w:rFonts w:ascii="仿宋" w:hAnsi="仿宋" w:cs="宋体" w:hint="eastAsia" w:eastAsia="仿宋"/>
          <w:bCs/>
          <w:color w:val="000000"/>
          <w:kern w:val="0"/>
          <w:sz w:val="32"/>
          <w:szCs w:val="32"/>
        </w:rPr>
        <w:t xml:space="preserve">  </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kern w:val="0"/>
          <w:sz w:val="32"/>
          <w:szCs w:val="32"/>
        </w:rPr>
      </w:pPr>
      <w:r>
        <w:rPr>
          <w:rFonts w:ascii="仿宋" w:hAnsi="仿宋" w:cs="宋体" w:eastAsia="仿宋"/>
          <w:kern w:val="0"/>
          <w:sz w:val="32"/>
          <w:szCs w:val="32"/>
        </w:rPr>
        <w:t>临时占用林地，逾期不归还的，依照前款规定处罚。</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黑体" w:hAnsi="黑体" w:cs="宋体" w:hint="eastAsia" w:eastAsia="黑体"/>
          <w:bCs/>
          <w:color w:val="000000"/>
          <w:kern w:val="0"/>
          <w:sz w:val="32"/>
          <w:szCs w:val="32"/>
        </w:rPr>
        <w:t xml:space="preserve">第十九条 </w:t>
      </w:r>
      <w:r>
        <w:rPr>
          <w:rFonts w:ascii="仿宋" w:hAnsi="仿宋" w:cs="宋体" w:hint="eastAsia" w:eastAsia="仿宋"/>
          <w:bCs/>
          <w:color w:val="000000"/>
          <w:kern w:val="0"/>
          <w:sz w:val="32"/>
          <w:szCs w:val="32"/>
        </w:rPr>
        <w:t xml:space="preserve"> 违反本条例第九条规定，给予下列处罚：</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150" w:startChars="0" w:start="0" w:endChars="0" w:end="0"/>
        <w:jc w:val="start"/>
        <w:textAlignment w:val="auto"/>
        <w:rPr>
          <w:rFonts w:ascii="仿宋" w:hAnsi="仿宋" w:eastAsia="仿宋" w:cs="宋体" w:hint="eastAsia"/>
          <w:color w:val="000000"/>
          <w:kern w:val="0"/>
          <w:sz w:val="32"/>
          <w:szCs w:val="32"/>
        </w:rPr>
      </w:pPr>
      <w:r>
        <w:rPr>
          <w:rFonts w:ascii="仿宋" w:hAnsi="仿宋" w:cs="宋体" w:hint="eastAsia" w:eastAsia="仿宋"/>
          <w:bCs/>
          <w:color w:val="000000"/>
          <w:kern w:val="0"/>
          <w:sz w:val="32"/>
          <w:szCs w:val="32"/>
        </w:rPr>
        <w:t>（一）</w:t>
      </w:r>
      <w:r>
        <w:rPr>
          <w:rFonts w:ascii="仿宋" w:hAnsi="仿宋" w:cs="宋体" w:hint="eastAsia" w:eastAsia="仿宋"/>
          <w:color w:val="000000"/>
          <w:kern w:val="0"/>
          <w:sz w:val="32"/>
          <w:szCs w:val="32"/>
        </w:rPr>
        <w:t>绕越木材检查站和伪装通过木材检查站逃避检查的，暂扣其全部木材及其制品，并处以木材价值一倍的罚款。</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150" w:startChars="0" w:start="0" w:endChars="0" w:end="0"/>
        <w:jc w:val="start"/>
        <w:textAlignment w:val="auto"/>
        <w:rPr>
          <w:rFonts w:ascii="仿宋" w:hAnsi="仿宋" w:eastAsia="仿宋" w:cs="宋体" w:hint="eastAsia"/>
          <w:bCs/>
          <w:color w:val="000000"/>
          <w:kern w:val="0"/>
          <w:sz w:val="32"/>
          <w:szCs w:val="32"/>
        </w:rPr>
      </w:pPr>
      <w:r>
        <w:rPr>
          <w:rFonts w:ascii="仿宋" w:hAnsi="仿宋" w:cs="宋体" w:hint="eastAsia" w:eastAsia="仿宋"/>
          <w:color w:val="000000"/>
          <w:kern w:val="0"/>
          <w:sz w:val="32"/>
          <w:szCs w:val="32"/>
        </w:rPr>
        <w:t>（二）使用倒卖、</w:t>
      </w:r>
      <w:r>
        <w:rPr>
          <w:rFonts w:ascii="仿宋" w:hAnsi="仿宋" w:cs="宋体" w:hint="eastAsia" w:eastAsia="仿宋"/>
          <w:bCs/>
          <w:color w:val="000000"/>
          <w:kern w:val="0"/>
          <w:sz w:val="32"/>
          <w:szCs w:val="32"/>
        </w:rPr>
        <w:t>转借</w:t>
      </w:r>
      <w:r>
        <w:rPr>
          <w:rFonts w:ascii="仿宋" w:hAnsi="仿宋" w:cs="宋体" w:hint="eastAsia" w:eastAsia="仿宋"/>
          <w:color w:val="000000"/>
          <w:kern w:val="0"/>
          <w:sz w:val="32"/>
          <w:szCs w:val="32"/>
        </w:rPr>
        <w:t>木材运输证运输木材的，没收其木材及其制品，并处以木材价值</w:t>
      </w:r>
      <w:r>
        <w:rPr>
          <w:rFonts w:eastAsia="仿宋" w:cs="宋体" w:hint="eastAsia" w:ascii="仿宋" w:hAnsi="仿宋"/>
          <w:color w:val="000000"/>
          <w:kern w:val="0"/>
          <w:sz w:val="32"/>
          <w:szCs w:val="32"/>
        </w:rPr>
        <w:t>50%</w:t>
      </w:r>
      <w:r>
        <w:rPr>
          <w:rFonts w:ascii="仿宋" w:hAnsi="仿宋" w:cs="宋体" w:hint="eastAsia" w:eastAsia="仿宋"/>
          <w:color w:val="000000"/>
          <w:kern w:val="0"/>
          <w:sz w:val="32"/>
          <w:szCs w:val="32"/>
        </w:rPr>
        <w:t>的罚款。</w:t>
      </w:r>
      <w:r>
        <w:rPr>
          <w:rFonts w:ascii="仿宋" w:hAnsi="仿宋" w:cs="宋体" w:hint="eastAsia" w:eastAsia="仿宋"/>
          <w:bCs/>
          <w:color w:val="000000"/>
          <w:kern w:val="0"/>
          <w:sz w:val="32"/>
          <w:szCs w:val="32"/>
        </w:rPr>
        <w:t>对已出售的没收其违法所得</w:t>
      </w:r>
      <w:r>
        <w:rPr>
          <w:rFonts w:eastAsia="仿宋" w:cs="宋体" w:hint="eastAsia" w:ascii="仿宋" w:hAnsi="仿宋"/>
          <w:bCs/>
          <w:color w:val="000000"/>
          <w:kern w:val="0"/>
          <w:sz w:val="32"/>
          <w:szCs w:val="32"/>
        </w:rPr>
        <w:t>,</w:t>
      </w:r>
      <w:r>
        <w:rPr>
          <w:rFonts w:ascii="仿宋" w:hAnsi="仿宋" w:cs="宋体" w:hint="eastAsia" w:eastAsia="仿宋"/>
          <w:bCs/>
          <w:color w:val="000000"/>
          <w:kern w:val="0"/>
          <w:sz w:val="32"/>
          <w:szCs w:val="32"/>
        </w:rPr>
        <w:t>并处违法所得</w:t>
      </w:r>
      <w:r>
        <w:rPr>
          <w:rFonts w:eastAsia="仿宋" w:cs="宋体" w:hint="eastAsia" w:ascii="仿宋" w:hAnsi="仿宋"/>
          <w:bCs/>
          <w:color w:val="000000"/>
          <w:kern w:val="0"/>
          <w:sz w:val="32"/>
          <w:szCs w:val="32"/>
        </w:rPr>
        <w:t>50%</w:t>
      </w:r>
      <w:r>
        <w:rPr>
          <w:rFonts w:ascii="仿宋" w:hAnsi="仿宋" w:cs="宋体" w:hint="eastAsia" w:eastAsia="仿宋"/>
          <w:bCs/>
          <w:color w:val="000000"/>
          <w:kern w:val="0"/>
          <w:sz w:val="32"/>
          <w:szCs w:val="32"/>
        </w:rPr>
        <w:t>的罚款。</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150" w:startChars="0" w:start="0" w:endChars="0" w:end="0"/>
        <w:jc w:val="start"/>
        <w:textAlignment w:val="auto"/>
        <w:rPr>
          <w:rFonts w:ascii="仿宋" w:hAnsi="仿宋" w:eastAsia="仿宋" w:cs="仿宋" w:hint="eastAsia"/>
          <w:color w:val="000000"/>
          <w:sz w:val="32"/>
          <w:szCs w:val="32"/>
        </w:rPr>
      </w:pPr>
      <w:r>
        <w:rPr>
          <w:rFonts w:ascii="仿宋" w:hAnsi="仿宋" w:cs="宋体" w:hint="eastAsia" w:eastAsia="仿宋"/>
          <w:bCs/>
          <w:color w:val="000000"/>
          <w:kern w:val="0"/>
          <w:sz w:val="32"/>
          <w:szCs w:val="32"/>
        </w:rPr>
        <w:t>（三）</w:t>
      </w:r>
      <w:r>
        <w:rPr>
          <w:rFonts w:ascii="仿宋" w:hAnsi="仿宋" w:cs="仿宋" w:hint="eastAsia" w:eastAsia="仿宋"/>
          <w:color w:val="000000"/>
          <w:sz w:val="32"/>
          <w:szCs w:val="32"/>
        </w:rPr>
        <w:t>无证运输的或使用过期木材运输证明的，没收其运输的全部木材，并处以木材价款</w:t>
      </w:r>
      <w:r>
        <w:rPr>
          <w:rFonts w:eastAsia="仿宋" w:cs="仿宋" w:hint="eastAsia" w:ascii="仿宋" w:hAnsi="仿宋"/>
          <w:color w:val="000000"/>
          <w:sz w:val="32"/>
          <w:szCs w:val="32"/>
        </w:rPr>
        <w:t>50%</w:t>
      </w:r>
      <w:r>
        <w:rPr>
          <w:rFonts w:ascii="仿宋" w:hAnsi="仿宋" w:cs="仿宋" w:hint="eastAsia" w:eastAsia="仿宋"/>
          <w:color w:val="000000"/>
          <w:sz w:val="32"/>
          <w:szCs w:val="32"/>
        </w:rPr>
        <w:t>的罚款。</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黑体" w:hAnsi="黑体" w:cs="宋体" w:hint="eastAsia" w:eastAsia="黑体"/>
          <w:bCs/>
          <w:color w:val="000000"/>
          <w:kern w:val="0"/>
          <w:sz w:val="32"/>
          <w:szCs w:val="32"/>
        </w:rPr>
        <w:t xml:space="preserve">第二十条  </w:t>
      </w:r>
      <w:r>
        <w:rPr>
          <w:rFonts w:ascii="仿宋" w:hAnsi="仿宋" w:cs="宋体" w:hint="eastAsia" w:eastAsia="仿宋"/>
          <w:bCs/>
          <w:color w:val="000000"/>
          <w:kern w:val="0"/>
          <w:sz w:val="32"/>
          <w:szCs w:val="32"/>
        </w:rPr>
        <w:t>违反本条例第十条规定，给予下列处罚：</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150" w:startChars="0" w:start="0" w:endChars="0" w:end="0"/>
        <w:jc w:val="start"/>
        <w:textAlignment w:val="auto"/>
        <w:rPr>
          <w:rFonts w:ascii="仿宋" w:hAnsi="仿宋" w:eastAsia="仿宋" w:cs="宋体" w:hint="eastAsia"/>
          <w:color w:val="000000"/>
          <w:kern w:val="0"/>
          <w:sz w:val="32"/>
          <w:szCs w:val="32"/>
        </w:rPr>
      </w:pPr>
      <w:r>
        <w:rPr>
          <w:rFonts w:ascii="仿宋" w:hAnsi="仿宋" w:cs="宋体" w:hint="eastAsia" w:eastAsia="仿宋"/>
          <w:bCs/>
          <w:color w:val="000000"/>
          <w:kern w:val="0"/>
          <w:sz w:val="32"/>
          <w:szCs w:val="32"/>
        </w:rPr>
        <w:t>（一）运输、</w:t>
      </w:r>
      <w:r>
        <w:rPr>
          <w:rFonts w:ascii="仿宋" w:hAnsi="仿宋" w:cs="仿宋" w:hint="eastAsia" w:eastAsia="仿宋"/>
          <w:color w:val="000000"/>
          <w:sz w:val="32"/>
          <w:szCs w:val="32"/>
        </w:rPr>
        <w:t>经营、</w:t>
      </w:r>
      <w:r>
        <w:rPr>
          <w:rFonts w:ascii="仿宋" w:hAnsi="仿宋" w:cs="宋体" w:hint="eastAsia" w:eastAsia="仿宋"/>
          <w:color w:val="000000"/>
          <w:kern w:val="0"/>
          <w:sz w:val="32"/>
          <w:szCs w:val="32"/>
        </w:rPr>
        <w:t>加工无检木号印木材的，没收全部木材，并处木材价值</w:t>
      </w:r>
      <w:r>
        <w:rPr>
          <w:rFonts w:eastAsia="仿宋" w:cs="宋体" w:hint="eastAsia" w:ascii="仿宋" w:hAnsi="仿宋"/>
          <w:color w:val="000000"/>
          <w:kern w:val="0"/>
          <w:sz w:val="32"/>
          <w:szCs w:val="32"/>
        </w:rPr>
        <w:t>10%</w:t>
      </w:r>
      <w:r>
        <w:rPr>
          <w:rFonts w:ascii="仿宋" w:hAnsi="仿宋" w:cs="宋体" w:hint="eastAsia" w:eastAsia="仿宋"/>
          <w:color w:val="000000"/>
          <w:kern w:val="0"/>
          <w:sz w:val="32"/>
          <w:szCs w:val="32"/>
        </w:rPr>
        <w:t>的罚款；</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150" w:startChars="0" w:start="0" w:endChars="0" w:end="0"/>
        <w:jc w:val="start"/>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（二）仿造、制售假检木号印的，没收假检木号印，并处以</w:t>
      </w:r>
      <w:r>
        <w:rPr>
          <w:rFonts w:eastAsia="仿宋" w:cs="宋体" w:hint="eastAsia" w:ascii="仿宋" w:hAnsi="仿宋"/>
          <w:color w:val="000000"/>
          <w:kern w:val="0"/>
          <w:sz w:val="32"/>
          <w:szCs w:val="32"/>
        </w:rPr>
        <w:t>2000</w:t>
      </w:r>
      <w:r>
        <w:rPr>
          <w:rFonts w:ascii="仿宋" w:hAnsi="仿宋" w:cs="宋体" w:hint="eastAsia" w:eastAsia="仿宋"/>
          <w:color w:val="000000"/>
          <w:kern w:val="0"/>
          <w:sz w:val="32"/>
          <w:szCs w:val="32"/>
        </w:rPr>
        <w:t>元罚款；</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150" w:startChars="0" w:start="0" w:endChars="0" w:end="0"/>
        <w:jc w:val="start"/>
        <w:textAlignment w:val="auto"/>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（三）非法使用检木号印打印木材并销售的，没收全部木材，并处以木材价值</w:t>
      </w:r>
      <w:r>
        <w:rPr>
          <w:rFonts w:eastAsia="仿宋" w:cs="宋体" w:hint="eastAsia" w:ascii="仿宋" w:hAnsi="仿宋"/>
          <w:color w:val="000000"/>
          <w:kern w:val="0"/>
          <w:sz w:val="32"/>
          <w:szCs w:val="32"/>
        </w:rPr>
        <w:t>30%</w:t>
      </w:r>
      <w:r>
        <w:rPr>
          <w:rFonts w:ascii="仿宋" w:hAnsi="仿宋" w:cs="宋体" w:hint="eastAsia" w:eastAsia="仿宋"/>
          <w:color w:val="000000"/>
          <w:kern w:val="0"/>
          <w:sz w:val="32"/>
          <w:szCs w:val="32"/>
        </w:rPr>
        <w:t>的罚款。</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ascii="黑体" w:hAnsi="黑体" w:cs="宋体" w:hint="eastAsia" w:eastAsia="黑体"/>
          <w:color w:val="000000"/>
          <w:kern w:val="0"/>
          <w:sz w:val="32"/>
          <w:szCs w:val="32"/>
        </w:rPr>
        <w:t xml:space="preserve">第二十一条 </w:t>
      </w:r>
      <w:r>
        <w:rPr>
          <w:rFonts w:ascii="仿宋" w:hAnsi="仿宋" w:cs="宋体" w:hint="eastAsia" w:eastAsia="仿宋"/>
          <w:color w:val="000000"/>
          <w:kern w:val="0"/>
          <w:sz w:val="32"/>
          <w:szCs w:val="32"/>
        </w:rPr>
        <w:t xml:space="preserve"> 违反本条例第十二条规定，</w:t>
      </w:r>
      <w:r>
        <w:rPr>
          <w:rFonts w:ascii="仿宋" w:hAnsi="仿宋" w:cs="宋体" w:hint="eastAsia" w:eastAsia="仿宋"/>
          <w:bCs/>
          <w:color w:val="000000"/>
          <w:kern w:val="0"/>
          <w:sz w:val="32"/>
          <w:szCs w:val="32"/>
        </w:rPr>
        <w:t>使用伪造、涂改木材运输证登记记入木材经营、加工台账的，清查库存木材数量，没收其非法登记的木材，并处木材价值</w:t>
      </w:r>
      <w:r>
        <w:rPr>
          <w:rFonts w:eastAsia="仿宋" w:cs="宋体" w:hint="eastAsia" w:ascii="仿宋" w:hAnsi="仿宋"/>
          <w:bCs/>
          <w:color w:val="000000"/>
          <w:kern w:val="0"/>
          <w:sz w:val="32"/>
          <w:szCs w:val="32"/>
        </w:rPr>
        <w:t>30%</w:t>
      </w:r>
      <w:r>
        <w:rPr>
          <w:rFonts w:ascii="仿宋" w:hAnsi="仿宋" w:cs="宋体" w:hint="eastAsia" w:eastAsia="仿宋"/>
          <w:bCs/>
          <w:color w:val="000000"/>
          <w:kern w:val="0"/>
          <w:sz w:val="32"/>
          <w:szCs w:val="32"/>
        </w:rPr>
        <w:t>的罚款。</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color w:val="000000"/>
          <w:kern w:val="0"/>
          <w:sz w:val="32"/>
          <w:szCs w:val="32"/>
        </w:rPr>
      </w:pPr>
      <w:r>
        <w:rPr>
          <w:rFonts w:ascii="黑体" w:hAnsi="黑体" w:cs="宋体" w:hint="eastAsia" w:eastAsia="黑体"/>
          <w:bCs/>
          <w:color w:val="000000"/>
          <w:kern w:val="0"/>
          <w:sz w:val="32"/>
          <w:szCs w:val="32"/>
        </w:rPr>
        <w:t xml:space="preserve">第二十二条 </w:t>
      </w:r>
      <w:r>
        <w:rPr>
          <w:rFonts w:ascii="仿宋" w:hAnsi="仿宋" w:cs="宋体" w:hint="eastAsia" w:eastAsia="仿宋"/>
          <w:bCs/>
          <w:color w:val="000000"/>
          <w:kern w:val="0"/>
          <w:sz w:val="32"/>
          <w:szCs w:val="32"/>
        </w:rPr>
        <w:t xml:space="preserve"> </w:t>
      </w:r>
      <w:r>
        <w:rPr>
          <w:rFonts w:ascii="仿宋" w:hAnsi="仿宋" w:cs="宋体" w:hint="eastAsia" w:eastAsia="仿宋"/>
          <w:color w:val="000000"/>
          <w:kern w:val="0"/>
          <w:sz w:val="32"/>
          <w:szCs w:val="32"/>
        </w:rPr>
        <w:t>国家公职人员、林业服务管理人员、林业经营单位人员、森林管护人员，滥用职权、玩忽职守、徇私舞弊，造成森林资源破坏和损失的，由其所在单位或上级主管部门给予处分；构成犯罪的，依法追究刑事责任。</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 xml:space="preserve">第二十三条  </w:t>
      </w:r>
      <w:r>
        <w:rPr>
          <w:rFonts w:ascii="仿宋" w:hAnsi="仿宋" w:cs="宋体" w:hint="eastAsia" w:eastAsia="仿宋"/>
          <w:color w:val="000000"/>
          <w:kern w:val="0"/>
          <w:sz w:val="32"/>
          <w:szCs w:val="32"/>
        </w:rPr>
        <w:t>本条例自</w:t>
      </w:r>
      <w:r>
        <w:rPr>
          <w:rFonts w:eastAsia="仿宋" w:cs="宋体" w:ascii="仿宋" w:hAnsi="仿宋"/>
          <w:color w:val="000000"/>
          <w:kern w:val="0"/>
          <w:sz w:val="32"/>
          <w:szCs w:val="32"/>
        </w:rPr>
        <w:t>2019</w:t>
      </w:r>
      <w:r>
        <w:rPr>
          <w:rFonts w:ascii="仿宋" w:hAnsi="仿宋" w:cs="宋体" w:hint="eastAsia" w:eastAsia="仿宋"/>
          <w:color w:val="000000"/>
          <w:kern w:val="0"/>
          <w:sz w:val="32"/>
          <w:szCs w:val="32"/>
        </w:rPr>
        <w:t>年</w:t>
      </w:r>
      <w:r>
        <w:rPr>
          <w:rFonts w:eastAsia="仿宋" w:cs="宋体" w:ascii="仿宋" w:hAnsi="仿宋"/>
          <w:color w:val="000000"/>
          <w:kern w:val="0"/>
          <w:sz w:val="32"/>
          <w:szCs w:val="32"/>
        </w:rPr>
        <w:t>11</w:t>
      </w:r>
      <w:r>
        <w:rPr>
          <w:rFonts w:ascii="仿宋" w:hAnsi="仿宋" w:cs="宋体" w:hint="eastAsia" w:eastAsia="仿宋"/>
          <w:color w:val="000000"/>
          <w:kern w:val="0"/>
          <w:sz w:val="32"/>
          <w:szCs w:val="32"/>
        </w:rPr>
        <w:t>月</w:t>
      </w:r>
      <w:r>
        <w:rPr>
          <w:rFonts w:eastAsia="仿宋" w:cs="宋体" w:ascii="仿宋" w:hAnsi="仿宋"/>
          <w:color w:val="000000"/>
          <w:kern w:val="0"/>
          <w:sz w:val="32"/>
          <w:szCs w:val="32"/>
        </w:rPr>
        <w:t>5</w:t>
      </w:r>
      <w:r>
        <w:rPr>
          <w:rFonts w:ascii="仿宋" w:hAnsi="仿宋" w:cs="宋体" w:hint="eastAsia" w:eastAsia="仿宋"/>
          <w:color w:val="000000"/>
          <w:kern w:val="0"/>
          <w:sz w:val="32"/>
          <w:szCs w:val="32"/>
        </w:rPr>
        <w:t>日起施行。</w:t>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150" w:startChars="0" w:start="0" w:endChars="0" w:end="0"/>
        <w:jc w:val="start"/>
        <w:textAlignment w:val="auto"/>
        <w:rPr>
          <w:rFonts w:ascii="仿宋" w:hAnsi="仿宋" w:eastAsia="仿宋" w:cs="宋体" w:hint="eastAsia"/>
          <w:bCs/>
          <w:color w:val="000000"/>
          <w:kern w:val="0"/>
          <w:sz w:val="32"/>
          <w:szCs w:val="32"/>
        </w:rPr>
      </w:pPr>
      <w:r>
        <w:rPr>
          <w:rFonts w:eastAsia="仿宋" w:cs="宋体" w:hint="eastAsia" w:ascii="仿宋" w:hAnsi="仿宋"/>
          <w:bCs/>
          <w:color w:val="000000"/>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bCs/>
          <w:color w:val="000000"/>
          <w:kern w:val="0"/>
          <w:sz w:val="32"/>
          <w:szCs w:val="32"/>
        </w:rPr>
      </w:pPr>
      <w:r>
        <w:rPr>
          <w:rFonts w:eastAsia="仿宋" w:cs="宋体" w:hint="eastAsia" w:ascii="仿宋" w:hAnsi="仿宋"/>
          <w:bCs/>
          <w:color w:val="000000"/>
          <w:kern w:val="0"/>
          <w:sz w:val="32"/>
          <w:szCs w:val="32"/>
        </w:rPr>
      </w:r>
    </w:p>
    <w:p>
      <w:pPr>
        <w:pStyle w:val="Normal"/>
        <w:keepNext w:val="false"/>
        <w:keepLines w:val="false"/>
        <w:pageBreakBefore w:val="false"/>
        <w:kinsoku w:val="true"/>
        <w:overflowPunct w:val="true"/>
        <w:autoSpaceDE w:val="true"/>
        <w:bidi w:val="0"/>
        <w:snapToGrid w:val="true"/>
        <w:spacing w:lineRule="exact" w:line="590" w:before="0" w:after="0"/>
        <w:ind w:firstLineChars="200" w:startChars="0" w:start="0" w:endChars="0" w:end="0"/>
        <w:textAlignment w:val="auto"/>
        <w:rPr>
          <w:rFonts w:ascii="仿宋" w:hAnsi="仿宋" w:eastAsia="仿宋" w:cs="仿宋" w:hint="eastAsia"/>
          <w:color w:val="000000"/>
          <w:kern w:val="0"/>
          <w:sz w:val="32"/>
          <w:szCs w:val="32"/>
        </w:rPr>
      </w:pPr>
      <w:r>
        <w:rPr>
          <w:rFonts w:eastAsia="仿宋" w:cs="仿宋" w:hint="eastAsia" w:ascii="仿宋" w:hAnsi="仿宋"/>
          <w:color w:val="000000"/>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90" w:before="0" w:after="0"/>
        <w:ind w:firstLineChars="200" w:startChars="0" w:start="0" w:endChars="0" w:end="0"/>
        <w:jc w:val="start"/>
        <w:textAlignment w:val="auto"/>
        <w:rPr>
          <w:rFonts w:ascii="仿宋" w:hAnsi="仿宋" w:eastAsia="仿宋" w:cs="宋体" w:hint="eastAsia"/>
          <w:color w:val="000000"/>
          <w:kern w:val="0"/>
          <w:sz w:val="32"/>
          <w:szCs w:val="32"/>
        </w:rPr>
      </w:pPr>
      <w:r>
        <w:rPr>
          <w:rFonts w:eastAsia="仿宋" w:cs="宋体" w:hint="eastAsia" w:ascii="仿宋" w:hAnsi="仿宋"/>
          <w:color w:val="000000"/>
          <w:kern w:val="0"/>
          <w:sz w:val="32"/>
          <w:szCs w:val="32"/>
        </w:rPr>
      </w:r>
    </w:p>
    <w:p>
      <w:pPr>
        <w:pStyle w:val="Normal"/>
        <w:keepNext w:val="false"/>
        <w:keepLines w:val="false"/>
        <w:pageBreakBefore w:val="false"/>
        <w:kinsoku w:val="true"/>
        <w:overflowPunct w:val="true"/>
        <w:autoSpaceDE w:val="true"/>
        <w:bidi w:val="0"/>
        <w:snapToGrid w:val="true"/>
        <w:spacing w:lineRule="exact" w:line="590" w:before="0" w:after="0"/>
        <w:ind w:firstLineChars="0" w:firstLine="0" w:startChars="0" w:start="0" w:endChars="0" w:end="0"/>
        <w:textAlignment w:val="auto"/>
        <w:rPr>
          <w:rFonts w:ascii="宋体" w:hAnsi="宋体" w:cs="宋体" w:hint="eastAsia"/>
          <w:bCs/>
          <w:color w:val="000000"/>
          <w:kern w:val="0"/>
          <w:szCs w:val="21"/>
        </w:rPr>
      </w:pPr>
      <w:r>
        <w:rPr>
          <w:rFonts w:cs="宋体" w:hint="eastAsia" w:ascii="宋体" w:hAnsi="宋体"/>
          <w:bCs/>
          <w:color w:val="000000"/>
          <w:kern w:val="0"/>
          <w:szCs w:val="21"/>
        </w:rPr>
        <w:t xml:space="preserve">  </w:t>
      </w:r>
    </w:p>
    <w:p>
      <w:pPr>
        <w:pStyle w:val="Normal"/>
        <w:keepNext w:val="false"/>
        <w:keepLines w:val="false"/>
        <w:pageBreakBefore w:val="false"/>
        <w:kinsoku w:val="true"/>
        <w:overflowPunct w:val="true"/>
        <w:autoSpaceDE w:val="true"/>
        <w:bidi w:val="0"/>
        <w:snapToGrid w:val="true"/>
        <w:spacing w:lineRule="exact" w:line="590" w:before="0" w:after="0"/>
        <w:ind w:firstLineChars="0" w:firstLine="0" w:startChars="0" w:start="0" w:endChars="0" w:end="0"/>
        <w:textAlignment w:val="auto"/>
        <w:rPr>
          <w:rFonts w:ascii="宋体" w:hAnsi="宋体" w:cs="宋体" w:hint="eastAsia"/>
          <w:bCs/>
          <w:color w:val="000000"/>
          <w:kern w:val="0"/>
          <w:szCs w:val="21"/>
        </w:rPr>
      </w:pPr>
      <w:r>
        <w:rPr>
          <w:rFonts w:cs="宋体" w:hint="eastAsia" w:ascii="宋体" w:hAnsi="宋体"/>
          <w:bCs/>
          <w:color w:val="000000"/>
          <w:kern w:val="0"/>
          <w:szCs w:val="21"/>
        </w:rPr>
      </w:r>
    </w:p>
    <w:p>
      <w:pPr>
        <w:pStyle w:val="Normal"/>
        <w:keepNext w:val="false"/>
        <w:keepLines w:val="false"/>
        <w:pageBreakBefore w:val="false"/>
        <w:kinsoku w:val="true"/>
        <w:overflowPunct w:val="true"/>
        <w:autoSpaceDE w:val="true"/>
        <w:bidi w:val="0"/>
        <w:snapToGrid w:val="true"/>
        <w:spacing w:lineRule="exact" w:line="590" w:before="0" w:after="0"/>
        <w:ind w:firstLineChars="0" w:firstLine="0" w:startChars="0" w:start="0" w:endChars="0" w:end="0"/>
        <w:textAlignment w:val="auto"/>
        <w:rPr>
          <w:rFonts w:ascii="宋体" w:hAnsi="宋体" w:cs="宋体" w:hint="eastAsia"/>
          <w:color w:val="000000"/>
          <w:kern w:val="0"/>
          <w:szCs w:val="21"/>
        </w:rPr>
      </w:pPr>
      <w:r>
        <w:rPr>
          <w:rFonts w:cs="宋体" w:hint="eastAsia" w:ascii="宋体" w:hAnsi="宋体"/>
          <w:bCs/>
          <w:color w:val="000000"/>
          <w:kern w:val="0"/>
          <w:szCs w:val="21"/>
        </w:rPr>
        <w:t xml:space="preserve">    </w:t>
      </w:r>
    </w:p>
    <w:p>
      <w:pPr>
        <w:pStyle w:val="Normal"/>
        <w:keepNext w:val="false"/>
        <w:keepLines w:val="false"/>
        <w:pageBreakBefore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szCs w:val="32"/>
        </w:rPr>
      </w:pPr>
      <w:r>
        <w:rPr>
          <w:rFonts w:cs="宋体" w:hint="eastAsia" w:ascii="宋体" w:hAnsi="宋体"/>
          <w:color w:val="000000"/>
          <w:kern w:val="0"/>
          <w:szCs w:val="21"/>
        </w:rPr>
        <w:t xml:space="preserve">    </w:t>
      </w:r>
    </w:p>
    <w:p>
      <w:pPr>
        <w:pStyle w:val="Normal"/>
        <w:keepNext w:val="false"/>
        <w:keepLines w:val="false"/>
        <w:pageBreakBefore w:val="false"/>
        <w:kinsoku w:val="true"/>
        <w:overflowPunct w:val="true"/>
        <w:autoSpaceDE w:val="true"/>
        <w:bidi w:val="0"/>
        <w:snapToGrid w:val="true"/>
        <w:spacing w:lineRule="exact" w:line="590" w:before="0" w:after="0"/>
        <w:ind w:firstLineChars="0" w:firstLine="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sectPr>
      <w:headerReference w:type="even" r:id="rId2"/>
      <w:headerReference w:type="default" r:id="rId3"/>
      <w:footerReference w:type="even" r:id="rId4"/>
      <w:footerReference w:type="default" r:id="rId5"/>
      <w:type w:val="nextPage"/>
      <w:pgSz w:w="11906" w:h="16838"/>
      <w:pgMar w:left="1587" w:right="1474" w:gutter="0" w:header="851" w:top="1984"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
    <w:charset w:val="86"/>
    <w:family w:val="modern"/>
    <w:pitch w:val="default"/>
  </w:font>
  <w:font w:name="黑体">
    <w:charset w:val="86"/>
    <w:family w:val="auto"/>
    <w:pitch w:val="default"/>
  </w:font>
  <w:font w:name="宋体">
    <w:charset w:val="86"/>
    <w:family w:val="auto"/>
    <w:pitch w:val="default"/>
  </w:font>
  <w:font w:name="楷体_GB2312">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8" behindDoc="0" locked="0" layoutInCell="0" allowOverlap="1">
              <wp:simplePos x="0" y="0"/>
              <wp:positionH relativeFrom="margin">
                <wp:posOffset>-635</wp:posOffset>
              </wp:positionH>
              <wp:positionV relativeFrom="paragraph">
                <wp:posOffset>635</wp:posOffset>
              </wp:positionV>
              <wp:extent cx="89535" cy="204470"/>
              <wp:effectExtent l="0" t="0" r="0" b="0"/>
              <wp:wrapSquare wrapText="bothSides"/>
              <wp:docPr id="3" name="Frame2"/>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pBdr/>
                            <w:spacing w:before="0" w:after="0"/>
                            <w:rPr>
                              <w:rFonts w:ascii="Times New Roman" w:hAnsi="Times New Roman" w:cs="Times New Roman"/>
                              <w:sz w:val="28"/>
                            </w:rPr>
                          </w:pPr>
                          <w:r>
                            <w:rPr>
                              <w:rFonts w:cs="Times New Roman" w:ascii="Times New Roman" w:hAnsi="Times New Roman"/>
                              <w:sz w:val="28"/>
                            </w:rPr>
                            <w:fldChar w:fldCharType="begin"/>
                          </w:r>
                          <w:r>
                            <w:rPr>
                              <w:rFonts w:cs="Times New Roman" w:ascii="Times New Roman" w:hAnsi="Times New Roman"/>
                              <w:sz w:val="28"/>
                            </w:rPr>
                            <w:instrText xml:space="preserve"> PAGE </w:instrText>
                          </w:r>
                          <w:r>
                            <w:rPr>
                              <w:rFonts w:cs="Times New Roman" w:ascii="Times New Roman" w:hAnsi="Times New Roman"/>
                              <w:sz w:val="28"/>
                            </w:rPr>
                            <w:fldChar w:fldCharType="separate"/>
                          </w:r>
                          <w:r>
                            <w:rPr>
                              <w:rFonts w:cs="Times New Roman" w:ascii="Times New Roman" w:hAnsi="Times New Roman"/>
                              <w:sz w:val="28"/>
                            </w:rPr>
                            <w:t>6</w:t>
                          </w:r>
                          <w:r>
                            <w:rPr>
                              <w:rFonts w:cs="Times New Roman" w:ascii="Times New Roman" w:hAnsi="Times New Roman"/>
                              <w:sz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Times New Roman" w:hAnsi="Times New Roman" w:cs="Times New Roman"/>
                        <w:sz w:val="28"/>
                      </w:rPr>
                    </w:pPr>
                    <w:r>
                      <w:rPr>
                        <w:rFonts w:cs="Times New Roman" w:ascii="Times New Roman" w:hAnsi="Times New Roman"/>
                        <w:sz w:val="28"/>
                      </w:rPr>
                      <w:fldChar w:fldCharType="begin"/>
                    </w:r>
                    <w:r>
                      <w:rPr>
                        <w:rFonts w:cs="Times New Roman" w:ascii="Times New Roman" w:hAnsi="Times New Roman"/>
                        <w:sz w:val="28"/>
                      </w:rPr>
                      <w:instrText xml:space="preserve"> PAGE </w:instrText>
                    </w:r>
                    <w:r>
                      <w:rPr>
                        <w:rFonts w:cs="Times New Roman" w:ascii="Times New Roman" w:hAnsi="Times New Roman"/>
                        <w:sz w:val="28"/>
                      </w:rPr>
                      <w:fldChar w:fldCharType="separate"/>
                    </w:r>
                    <w:r>
                      <w:rPr>
                        <w:rFonts w:cs="Times New Roman" w:ascii="Times New Roman" w:hAnsi="Times New Roman"/>
                        <w:sz w:val="28"/>
                      </w:rPr>
                      <w:t>6</w:t>
                    </w:r>
                    <w:r>
                      <w:rPr>
                        <w:rFonts w:cs="Times New Roman" w:ascii="Times New Roman" w:hAnsi="Times New Roman"/>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5" behindDoc="0" locked="0" layoutInCell="0" allowOverlap="1">
              <wp:simplePos x="0" y="0"/>
              <wp:positionH relativeFrom="margin">
                <wp:posOffset>-635</wp:posOffset>
              </wp:positionH>
              <wp:positionV relativeFrom="paragraph">
                <wp:posOffset>635</wp:posOffset>
              </wp:positionV>
              <wp:extent cx="2954020" cy="204470"/>
              <wp:effectExtent l="0" t="0" r="0" b="0"/>
              <wp:wrapSquare wrapText="bothSides"/>
              <wp:docPr id="4" name="Frame1"/>
              <a:graphic xmlns:a="http://schemas.openxmlformats.org/drawingml/2006/main">
                <a:graphicData uri="http://schemas.microsoft.com/office/word/2010/wordprocessingShape">
                  <wps:wsp>
                    <wps:cNvSpPr txBox="1"/>
                    <wps:spPr>
                      <a:xfrm>
                        <a:off x="0" y="0"/>
                        <a:ext cx="2954020" cy="204470"/>
                      </a:xfrm>
                      <a:prstGeom prst="rect"/>
                      <a:solidFill>
                        <a:srgbClr val="FFFFFF">
                          <a:alpha val="0"/>
                        </a:srgbClr>
                      </a:solidFill>
                    </wps:spPr>
                    <wps:txbx>
                      <w:txbxContent>
                        <w:p>
                          <w:pPr>
                            <w:pStyle w:val="Footer"/>
                            <w:pBdr/>
                            <w:spacing w:before="0" w:after="0"/>
                            <w:rPr>
                              <w:rFonts w:ascii="Times New Roman" w:hAnsi="Times New Roman" w:cs="Times New Roman"/>
                              <w:sz w:val="28"/>
                            </w:rPr>
                          </w:pPr>
                          <w:r>
                            <w:rPr>
                              <w:rStyle w:val="PageNumber"/>
                              <w:rFonts w:cs="Times New Roman" w:hint="eastAsia" w:ascii="Times New Roman" w:hAnsi="Times New Roman"/>
                              <w:sz w:val="28"/>
                            </w:rPr>
                            <w:t xml:space="preserve">                                                          </w:t>
                          </w:r>
                          <w:r>
                            <w:rPr>
                              <w:rFonts w:cs="Times New Roman" w:ascii="Times New Roman" w:hAnsi="Times New Roman"/>
                              <w:sz w:val="28"/>
                            </w:rPr>
                            <w:fldChar w:fldCharType="begin"/>
                          </w:r>
                          <w:r>
                            <w:rPr>
                              <w:rFonts w:cs="Times New Roman" w:ascii="Times New Roman" w:hAnsi="Times New Roman"/>
                              <w:sz w:val="28"/>
                            </w:rPr>
                            <w:instrText xml:space="preserve"> PAGE </w:instrText>
                          </w:r>
                          <w:r>
                            <w:rPr>
                              <w:rFonts w:cs="Times New Roman" w:ascii="Times New Roman" w:hAnsi="Times New Roman"/>
                              <w:sz w:val="28"/>
                            </w:rPr>
                            <w:fldChar w:fldCharType="separate"/>
                          </w:r>
                          <w:r>
                            <w:rPr>
                              <w:rFonts w:cs="Times New Roman" w:ascii="Times New Roman" w:hAnsi="Times New Roman"/>
                              <w:sz w:val="28"/>
                            </w:rPr>
                            <w:t>7</w:t>
                          </w:r>
                          <w:r>
                            <w:rPr>
                              <w:rFonts w:cs="Times New Roman" w:ascii="Times New Roman" w:hAnsi="Times New Roman"/>
                              <w:sz w:val="28"/>
                            </w:rPr>
                            <w:fldChar w:fldCharType="end"/>
                          </w:r>
                        </w:p>
                      </w:txbxContent>
                    </wps:txbx>
                    <wps:bodyPr anchor="t" lIns="0" tIns="0" rIns="0" bIns="0">
                      <a:noAutofit/>
                    </wps:bodyPr>
                  </wps:wsp>
                </a:graphicData>
              </a:graphic>
            </wp:anchor>
          </w:drawing>
        </mc:Choice>
        <mc:Fallback>
          <w:pict>
            <v:rect fillcolor="#FFFFFF" style="position:absolute;rotation:-0;width:232.6pt;height:16.1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Times New Roman" w:hAnsi="Times New Roman" w:cs="Times New Roman"/>
                        <w:sz w:val="28"/>
                      </w:rPr>
                    </w:pPr>
                    <w:r>
                      <w:rPr>
                        <w:rStyle w:val="PageNumber"/>
                        <w:rFonts w:cs="Times New Roman" w:hint="eastAsia" w:ascii="Times New Roman" w:hAnsi="Times New Roman"/>
                        <w:sz w:val="28"/>
                      </w:rPr>
                      <w:t xml:space="preserve">                                                          </w:t>
                    </w:r>
                    <w:r>
                      <w:rPr>
                        <w:rFonts w:cs="Times New Roman" w:ascii="Times New Roman" w:hAnsi="Times New Roman"/>
                        <w:sz w:val="28"/>
                      </w:rPr>
                      <w:fldChar w:fldCharType="begin"/>
                    </w:r>
                    <w:r>
                      <w:rPr>
                        <w:rFonts w:cs="Times New Roman" w:ascii="Times New Roman" w:hAnsi="Times New Roman"/>
                        <w:sz w:val="28"/>
                      </w:rPr>
                      <w:instrText xml:space="preserve"> PAGE </w:instrText>
                    </w:r>
                    <w:r>
                      <w:rPr>
                        <w:rFonts w:cs="Times New Roman" w:ascii="Times New Roman" w:hAnsi="Times New Roman"/>
                        <w:sz w:val="28"/>
                      </w:rPr>
                      <w:fldChar w:fldCharType="separate"/>
                    </w:r>
                    <w:r>
                      <w:rPr>
                        <w:rFonts w:cs="Times New Roman" w:ascii="Times New Roman" w:hAnsi="Times New Roman"/>
                        <w:sz w:val="28"/>
                      </w:rPr>
                      <w:t>7</w:t>
                    </w:r>
                    <w:r>
                      <w:rPr>
                        <w:rFonts w:cs="Times New Roman" w:ascii="Times New Roman" w:hAnsi="Times New Roman"/>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Chars="0" w:firstLine="0" w:startChars="0" w:start="0" w:endChars="0" w:end="0"/>
      <w:rPr/>
    </w:pPr>
    <w:r>
      <w:rPr/>
    </w:r>
    <w:r>
      <mc:AlternateContent>
        <mc:Choice Requires="wps">
          <w:drawing>
            <wp:anchor distT="0" distB="0" distL="0" distR="0" simplePos="0" relativeHeight="15" behindDoc="0" locked="0" layoutInCell="0" allowOverlap="1">
              <wp:simplePos x="0" y="0"/>
              <wp:positionH relativeFrom="margin">
                <wp:posOffset>-635</wp:posOffset>
              </wp:positionH>
              <wp:positionV relativeFrom="paragraph">
                <wp:posOffset>635</wp:posOffset>
              </wp:positionV>
              <wp:extent cx="14605" cy="162560"/>
              <wp:effectExtent l="0" t="0" r="0" b="0"/>
              <wp:wrapSquare wrapText="bothSides"/>
              <wp:docPr id="1" name="Frame4"/>
              <a:graphic xmlns:a="http://schemas.openxmlformats.org/drawingml/2006/main">
                <a:graphicData uri="http://schemas.microsoft.com/office/word/2010/wordprocessingShape">
                  <wps:wsp>
                    <wps:cNvSpPr txBox="1"/>
                    <wps:spPr>
                      <a:xfrm>
                        <a:off x="0" y="0"/>
                        <a:ext cx="14605" cy="162560"/>
                      </a:xfrm>
                      <a:prstGeom prst="rect"/>
                      <a:solidFill>
                        <a:srgbClr val="FFFFFF">
                          <a:alpha val="0"/>
                        </a:srgbClr>
                      </a:solidFill>
                    </wps:spPr>
                    <wps:txbx>
                      <w:txbxContent>
                        <w:p>
                          <w:pPr>
                            <w:pStyle w:val="Normal"/>
                            <w:pBdr/>
                            <w:spacing w:before="0" w:after="0"/>
                            <w:rPr/>
                          </w:pPr>
                          <w:r>
                            <w:rPr/>
                          </w:r>
                        </w:p>
                      </w:txbxContent>
                    </wps:txbx>
                    <wps:bodyPr anchor="t" lIns="0" tIns="0" rIns="0" bIns="0">
                      <a:noAutofit/>
                    </wps:bodyPr>
                  </wps:wsp>
                </a:graphicData>
              </a:graphic>
            </wp:anchor>
          </w:drawing>
        </mc:Choice>
        <mc:Fallback>
          <w:pict>
            <v:rect fillcolor="#FFFFFF" style="position:absolute;rotation:-0;width:1.15pt;height:12.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Normal"/>
                      <w:pBdr/>
                      <w:spacing w:before="0" w:after="0"/>
                      <w:rPr/>
                    </w:pPr>
                    <w:r>
                      <w:rP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r>
      <mc:AlternateContent>
        <mc:Choice Requires="wps">
          <w:drawing>
            <wp:anchor distT="0" distB="0" distL="0" distR="0" simplePos="0" relativeHeight="12" behindDoc="0" locked="0" layoutInCell="0" allowOverlap="1">
              <wp:simplePos x="0" y="0"/>
              <wp:positionH relativeFrom="margin">
                <wp:posOffset>-635</wp:posOffset>
              </wp:positionH>
              <wp:positionV relativeFrom="paragraph">
                <wp:posOffset>635</wp:posOffset>
              </wp:positionV>
              <wp:extent cx="14605" cy="162560"/>
              <wp:effectExtent l="0" t="0" r="0" b="0"/>
              <wp:wrapSquare wrapText="bothSides"/>
              <wp:docPr id="2" name="Frame3"/>
              <a:graphic xmlns:a="http://schemas.openxmlformats.org/drawingml/2006/main">
                <a:graphicData uri="http://schemas.microsoft.com/office/word/2010/wordprocessingShape">
                  <wps:wsp>
                    <wps:cNvSpPr txBox="1"/>
                    <wps:spPr>
                      <a:xfrm>
                        <a:off x="0" y="0"/>
                        <a:ext cx="14605" cy="162560"/>
                      </a:xfrm>
                      <a:prstGeom prst="rect"/>
                      <a:solidFill>
                        <a:srgbClr val="FFFFFF">
                          <a:alpha val="0"/>
                        </a:srgbClr>
                      </a:solidFill>
                    </wps:spPr>
                    <wps:txbx>
                      <w:txbxContent>
                        <w:p>
                          <w:pPr>
                            <w:pStyle w:val="Normal"/>
                            <w:pBdr/>
                            <w:spacing w:before="0" w:after="0"/>
                            <w:rPr/>
                          </w:pPr>
                          <w:r>
                            <w:rPr/>
                          </w:r>
                        </w:p>
                      </w:txbxContent>
                    </wps:txbx>
                    <wps:bodyPr anchor="t" lIns="0" tIns="0" rIns="0" bIns="0">
                      <a:noAutofit/>
                    </wps:bodyPr>
                  </wps:wsp>
                </a:graphicData>
              </a:graphic>
            </wp:anchor>
          </w:drawing>
        </mc:Choice>
        <mc:Fallback>
          <w:pict>
            <v:rect fillcolor="#FFFFFF" style="position:absolute;rotation:-0;width:1.15pt;height:12.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Normal"/>
                      <w:pBdr/>
                      <w:spacing w:before="0" w:after="0"/>
                      <w:rPr/>
                    </w:pPr>
                    <w:r>
                      <w:rPr/>
                    </w:r>
                  </w:p>
                </w:txbxContent>
              </v:textbox>
              <w10:wrap type="square"/>
            </v:rect>
          </w:pict>
        </mc:Fallback>
      </mc:AlternateContent>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眉 Char Char"/>
    <w:basedOn w:val="Style14"/>
    <w:qFormat/>
    <w:rPr>
      <w:kern w:val="2"/>
      <w:sz w:val="18"/>
      <w:szCs w:val="18"/>
    </w:rPr>
  </w:style>
  <w:style w:type="character" w:styleId="CharChar1">
    <w:name w:val="页脚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2019-07-17T16:28:00Z</dcterms:created>
  <dc:creator>Administrator</dc:creator>
  <dc:description/>
  <dc:language>en-US</dc:language>
  <cp:lastModifiedBy>Administrator</cp:lastModifiedBy>
  <dcterms:modified xsi:type="dcterms:W3CDTF">2020-03-23T11:22:06Z</dcterms:modified>
  <cp:revision>8</cp:revision>
  <dc:subject/>
  <dc:title>新宾满族自治县林业管理条例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