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90"/>
        <w:jc w:val="center"/>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napToGrid w:val="false"/>
        <w:spacing w:lineRule="exact" w:line="590"/>
        <w:jc w:val="center"/>
        <w:rPr>
          <w:rFonts w:ascii="黑体" w:hAnsi="黑体" w:eastAsia="黑体" w:cs="黑体"/>
          <w:b/>
          <w:color w:val="000000"/>
          <w:sz w:val="44"/>
          <w:szCs w:val="44"/>
        </w:rPr>
      </w:pPr>
      <w:r>
        <w:rPr>
          <w:rFonts w:ascii="宋体" w:hAnsi="宋体" w:cs="宋体" w:hint="eastAsia"/>
          <w:b/>
          <w:color w:val="000000"/>
          <w:sz w:val="44"/>
          <w:szCs w:val="44"/>
        </w:rPr>
        <w:t>锦州市锦凌水库饮用水水源保护条例</w:t>
      </w:r>
    </w:p>
    <w:p>
      <w:pPr>
        <w:pStyle w:val="Normal"/>
        <w:spacing w:lineRule="exact" w:line="590"/>
        <w:rPr>
          <w:rFonts w:ascii="楷体_GB2312" w:hAnsi="楷体_GB2312" w:eastAsia="楷体_GB2312" w:cs="楷体_GB2312"/>
          <w:b/>
          <w:color w:val="000000"/>
          <w:sz w:val="32"/>
          <w:szCs w:val="32"/>
        </w:rPr>
      </w:pPr>
      <w:r>
        <w:rPr>
          <w:rFonts w:eastAsia="楷体_GB2312" w:cs="楷体_GB2312" w:ascii="楷体_GB2312" w:hAnsi="楷体_GB2312"/>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both"/>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20</w:t>
      </w:r>
      <w:r>
        <w:rPr>
          <w:rFonts w:ascii="楷体_GB2312" w:hAnsi="楷体_GB2312" w:cs="楷体_GB2312" w:hint="eastAsia" w:eastAsia="楷体_GB2312"/>
          <w:color w:val="000000"/>
          <w:sz w:val="32"/>
          <w:szCs w:val="32"/>
        </w:rPr>
        <w:t xml:space="preserve">日锦州市第十六届人民代表大会常务委员会第十八次会议通过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日辽宁省第十三届人民代表大会常务委员会第十七次会议批准</w:t>
      </w:r>
      <w:r>
        <w:rPr>
          <w:rFonts w:ascii="楷体_GB2312" w:hAnsi="楷体_GB2312" w:cs="楷体_GB2312" w:hint="eastAsia" w:eastAsia="楷体_GB2312"/>
          <w:color w:val="000000"/>
          <w:sz w:val="32"/>
          <w:szCs w:val="32"/>
        </w:rPr>
        <w:t>）</w:t>
      </w:r>
    </w:p>
    <w:p>
      <w:pPr>
        <w:pStyle w:val="Normal"/>
        <w:snapToGrid w:val="false"/>
        <w:spacing w:lineRule="exact" w:line="590"/>
        <w:jc w:val="center"/>
        <w:rPr>
          <w:rFonts w:ascii="宋体" w:hAnsi="宋体" w:eastAsia="楷体_GB2312" w:cs="宋体"/>
          <w:color w:val="000000"/>
          <w:sz w:val="32"/>
          <w:szCs w:val="32"/>
        </w:rPr>
      </w:pPr>
      <w:r>
        <w:rPr>
          <w:rFonts w:eastAsia="楷体_GB2312" w:cs="宋体" w:ascii="宋体" w:hAnsi="宋体"/>
          <w:color w:val="000000"/>
          <w:sz w:val="32"/>
          <w:szCs w:val="32"/>
        </w:rPr>
      </w:r>
    </w:p>
    <w:p>
      <w:pPr>
        <w:pStyle w:val="Normal"/>
        <w:snapToGrid w:val="false"/>
        <w:spacing w:lineRule="exact" w:line="59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w:t>
      </w:r>
      <w:bookmarkStart w:id="0" w:name="_GoBack"/>
      <w:bookmarkEnd w:id="0"/>
      <w:r>
        <w:rPr>
          <w:rFonts w:ascii="楷体_GB2312" w:hAnsi="楷体_GB2312" w:cs="楷体_GB2312" w:hint="eastAsia" w:eastAsia="楷体_GB2312"/>
          <w:color w:val="000000"/>
          <w:sz w:val="32"/>
          <w:szCs w:val="32"/>
        </w:rPr>
        <w:t xml:space="preserve">  录</w:t>
      </w:r>
    </w:p>
    <w:p>
      <w:pPr>
        <w:pStyle w:val="Normal"/>
        <w:snapToGrid w:val="false"/>
        <w:spacing w:lineRule="exact" w:line="590"/>
        <w:rPr>
          <w:rFonts w:ascii="楷体_GB2312" w:hAnsi="楷体_GB2312" w:eastAsia="楷体_GB2312" w:cs="楷体_GB2312"/>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第一章  总则</w:t>
      </w:r>
    </w:p>
    <w:p>
      <w:pPr>
        <w:pStyle w:val="Normal"/>
        <w:snapToGrid w:val="false"/>
        <w:spacing w:lineRule="exact" w:line="59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第二章  保护措施</w:t>
      </w:r>
    </w:p>
    <w:p>
      <w:pPr>
        <w:pStyle w:val="Normal"/>
        <w:snapToGrid w:val="false"/>
        <w:spacing w:lineRule="exact" w:line="59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第三章  监督管理</w:t>
      </w:r>
    </w:p>
    <w:p>
      <w:pPr>
        <w:pStyle w:val="Normal"/>
        <w:snapToGrid w:val="false"/>
        <w:spacing w:lineRule="exact" w:line="59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第四章  法律责任</w:t>
      </w:r>
    </w:p>
    <w:p>
      <w:pPr>
        <w:pStyle w:val="Normal"/>
        <w:snapToGrid w:val="false"/>
        <w:spacing w:lineRule="exact" w:line="59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第五章  附则</w:t>
      </w:r>
    </w:p>
    <w:p>
      <w:pPr>
        <w:pStyle w:val="Normal"/>
        <w:snapToGrid w:val="false"/>
        <w:spacing w:lineRule="exact" w:line="590"/>
        <w:ind w:firstLineChars="200" w:startChars="0" w:start="0" w:endChars="0" w:end="0"/>
        <w:rPr>
          <w:rFonts w:ascii="宋体" w:hAnsi="宋体" w:eastAsia="楷体_GB2312" w:cs="宋体"/>
          <w:color w:val="000000"/>
          <w:sz w:val="32"/>
          <w:szCs w:val="32"/>
        </w:rPr>
      </w:pPr>
      <w:r>
        <w:rPr>
          <w:rFonts w:eastAsia="楷体_GB2312" w:cs="宋体" w:ascii="宋体" w:hAnsi="宋体"/>
          <w:color w:val="000000"/>
          <w:sz w:val="32"/>
          <w:szCs w:val="32"/>
        </w:rPr>
      </w:r>
    </w:p>
    <w:p>
      <w:pPr>
        <w:pStyle w:val="Normal"/>
        <w:snapToGrid w:val="false"/>
        <w:spacing w:lineRule="exact" w:line="590"/>
        <w:jc w:val="center"/>
        <w:rPr>
          <w:rFonts w:ascii="黑体" w:hAnsi="黑体" w:eastAsia="黑体" w:cs="黑体"/>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59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为了加强锦凌水库饮用水水源的保护和管理，防治水污染，保障饮用水安全，根据《中华人民共和国水污染防治法》《辽宁省水污染防治条例》等法律、法规，结合本市实际，制定本条例。</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本条例适用于锦凌水库饮用水水源（以下简称水源）的保护及其相关管理活动。</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第三条  </w:t>
      </w:r>
      <w:r>
        <w:rPr>
          <w:rFonts w:ascii="仿宋_GB2312" w:hAnsi="仿宋_GB2312" w:cs="仿宋_GB2312" w:hint="eastAsia" w:eastAsia="仿宋_GB2312"/>
          <w:color w:val="000000"/>
          <w:kern w:val="0"/>
          <w:sz w:val="32"/>
          <w:szCs w:val="32"/>
        </w:rPr>
        <w:t>法律、法规对饮用水水源有相关保护和处罚规定的，依照其规定。</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 xml:space="preserve">市人民政府应当建立统一领导、属地管理、分级负责、协调联动的工作机制，制定水源保护专项规划并纳入国民经济和社会发展规划，促进经济建设和水源保护协调发展。 </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水源保护范围内的县（含县级市、区，下同）、乡（镇）人民政府和街道办事处负责辖区内水源保护相关工作。</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水源保护范围内的村民委员会、居民委员会协助做好水源保护工作。</w:t>
      </w:r>
    </w:p>
    <w:p>
      <w:pPr>
        <w:pStyle w:val="Normal"/>
        <w:widowControl/>
        <w:snapToGrid w:val="false"/>
        <w:spacing w:lineRule="exact" w:line="590"/>
        <w:ind w:firstLineChars="200" w:startChars="0" w:start="0" w:endChars="0" w:end="0"/>
        <w:jc w:val="start"/>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市和水源所在地的县人民政府生态环境主管部门负责</w:t>
      </w:r>
      <w:r>
        <w:rPr>
          <w:rFonts w:ascii="仿宋_GB2312" w:hAnsi="仿宋_GB2312" w:cs="仿宋_GB2312" w:hint="eastAsia" w:eastAsia="仿宋_GB2312"/>
          <w:color w:val="000000"/>
          <w:kern w:val="0"/>
          <w:sz w:val="32"/>
          <w:szCs w:val="32"/>
          <w:shd w:fill="FFFFFF" w:val="clear"/>
          <w:lang w:bidi="ar"/>
        </w:rPr>
        <w:t>对本行政区域内水源污染防治实施统一监督管理。</w:t>
      </w:r>
    </w:p>
    <w:p>
      <w:pPr>
        <w:pStyle w:val="Normal"/>
        <w:snapToGrid w:val="false"/>
        <w:spacing w:lineRule="exact" w:line="590"/>
        <w:ind w:firstLineChars="200" w:startChars="0" w:start="0" w:endChars="0" w:end="0"/>
        <w:rPr>
          <w:rFonts w:ascii="仿宋_GB2312" w:hAnsi="仿宋_GB2312" w:eastAsia="仿宋_GB2312" w:cs="仿宋_GB2312"/>
          <w:color w:val="000000"/>
          <w:spacing w:val="6"/>
          <w:sz w:val="32"/>
          <w:szCs w:val="32"/>
        </w:rPr>
      </w:pPr>
      <w:r>
        <w:rPr>
          <w:rFonts w:ascii="仿宋_GB2312" w:hAnsi="仿宋_GB2312" w:cs="仿宋_GB2312" w:hint="eastAsia" w:eastAsia="仿宋_GB2312"/>
          <w:color w:val="000000"/>
          <w:spacing w:val="6"/>
          <w:sz w:val="32"/>
          <w:szCs w:val="32"/>
        </w:rPr>
        <w:t>水利、发展改革、公安、财政、自然资源、住房城乡建设、民政、交通运输、农业农村、林业草原、卫生健康、工业信息、文化旅游广电等部门按照各自职责，做好水源保护的相关工作。</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市人民政府应当明确负责锦凌水库饮用水水源日常管理工作的部门或者机构。</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市人民政府应当建立水源保护目标责任制和考核评价制度，将水源保护目标完成情况列入对相关部门和水源所在地的县人民政府及其负责人的考核评价内容。　</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shd w:fill="FFFFFF" w:val="clear"/>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市和水源所在地的县人民政府应当建立水源生态保护补偿机制，保护和改善水源保护区的生态环境，</w:t>
      </w:r>
      <w:r>
        <w:rPr>
          <w:rFonts w:ascii="仿宋_GB2312" w:hAnsi="仿宋_GB2312" w:cs="仿宋_GB2312" w:hint="eastAsia" w:eastAsia="仿宋_GB2312"/>
          <w:color w:val="000000"/>
          <w:sz w:val="32"/>
          <w:szCs w:val="32"/>
          <w:shd w:fill="FFFFFF" w:val="clear"/>
        </w:rPr>
        <w:t>促进水源保护地区和其他地区的协调发展。</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shd w:fill="FFFFFF" w:val="clear"/>
        </w:rPr>
      </w:pPr>
      <w:r>
        <w:rPr>
          <w:rFonts w:eastAsia="仿宋_GB2312" w:cs="仿宋_GB2312" w:ascii="仿宋_GB2312" w:hAnsi="仿宋_GB2312"/>
          <w:color w:val="000000"/>
          <w:sz w:val="32"/>
          <w:szCs w:val="32"/>
          <w:shd w:fill="FFFFFF" w:val="clear"/>
        </w:rPr>
      </w:r>
    </w:p>
    <w:p>
      <w:pPr>
        <w:pStyle w:val="Normal"/>
        <w:snapToGrid w:val="false"/>
        <w:spacing w:lineRule="exact" w:line="590"/>
        <w:jc w:val="center"/>
        <w:rPr>
          <w:rFonts w:ascii="黑体" w:hAnsi="黑体" w:eastAsia="黑体" w:cs="黑体"/>
          <w:bCs/>
          <w:color w:val="000000"/>
          <w:sz w:val="32"/>
          <w:szCs w:val="32"/>
        </w:rPr>
      </w:pPr>
      <w:r>
        <w:rPr>
          <w:rFonts w:ascii="黑体" w:hAnsi="黑体" w:cs="黑体" w:hint="eastAsia" w:eastAsia="黑体"/>
          <w:bCs/>
          <w:color w:val="000000"/>
          <w:sz w:val="32"/>
          <w:szCs w:val="32"/>
        </w:rPr>
        <w:t>第二章  保护措施</w:t>
      </w:r>
    </w:p>
    <w:p>
      <w:pPr>
        <w:pStyle w:val="Normal"/>
        <w:snapToGrid w:val="false"/>
        <w:spacing w:lineRule="exact" w:line="590"/>
        <w:jc w:val="center"/>
        <w:rPr>
          <w:rFonts w:ascii="黑体" w:hAnsi="黑体" w:eastAsia="黑体" w:cs="黑体"/>
          <w:bCs/>
          <w:color w:val="000000"/>
          <w:sz w:val="32"/>
          <w:szCs w:val="32"/>
        </w:rPr>
      </w:pPr>
      <w:r>
        <w:rPr>
          <w:rFonts w:eastAsia="黑体" w:cs="黑体" w:ascii="黑体" w:hAnsi="黑体"/>
          <w:bCs/>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水源保护区分为一级保护区、二级保护区。</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一级保护区、二级保护区的具体范围按照省人民政府批准的范围划定。</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根据水源保护的需要，在水源保护区外围划设一定的区域作为准保护区，具体范围经省人民政府批准后向社会公布。　</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在水源保护区和准保护区内从事活动，除应当遵守法律、法规的相关禁止性规定外，还应当遵守下列规定：</w:t>
      </w:r>
    </w:p>
    <w:p>
      <w:pPr>
        <w:pStyle w:val="3-"/>
        <w:snapToGrid w:val="false"/>
        <w:spacing w:lineRule="exact" w:line="590"/>
        <w:ind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（一）在二级保护区内，禁止下列行为： </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处置生活垃圾；</w:t>
      </w:r>
    </w:p>
    <w:p>
      <w:pPr>
        <w:pStyle w:val="3-"/>
        <w:snapToGrid w:val="false"/>
        <w:spacing w:lineRule="exact" w:line="590"/>
        <w:ind w:endChars="0" w:end="0"/>
        <w:rPr>
          <w:rFonts w:ascii="仿宋_GB2312" w:hAnsi="仿宋_GB2312" w:eastAsia="仿宋_GB2312" w:cs="仿宋_GB2312"/>
          <w:color w:val="000000"/>
          <w:kern w:val="0"/>
          <w:sz w:val="32"/>
          <w:szCs w:val="32"/>
          <w:shd w:fill="FFFFFF" w:val="clear"/>
        </w:rPr>
      </w:pP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shd w:fill="FFFFFF" w:val="clear"/>
        </w:rPr>
        <w:t>堆放、贮存化工原料、</w:t>
      </w:r>
      <w:r>
        <w:rPr>
          <w:rFonts w:ascii="仿宋_GB2312" w:hAnsi="仿宋_GB2312" w:cs="仿宋_GB2312" w:hint="eastAsia" w:eastAsia="仿宋_GB2312"/>
          <w:color w:val="000000"/>
          <w:sz w:val="32"/>
          <w:szCs w:val="32"/>
        </w:rPr>
        <w:t>危险化学品、</w:t>
      </w:r>
      <w:r>
        <w:rPr>
          <w:rFonts w:ascii="仿宋_GB2312" w:hAnsi="仿宋_GB2312" w:cs="仿宋_GB2312" w:hint="eastAsia" w:eastAsia="仿宋_GB2312"/>
          <w:color w:val="000000"/>
          <w:sz w:val="32"/>
          <w:szCs w:val="32"/>
          <w:shd w:fill="FFFFFF" w:val="clear"/>
        </w:rPr>
        <w:t>矿物油类及有毒有害物质，倾倒、堆放工业固体废物和其他有毒有害废弃物；</w:t>
      </w:r>
    </w:p>
    <w:p>
      <w:pPr>
        <w:pStyle w:val="Normal"/>
        <w:widowControl/>
        <w:snapToGrid w:val="false"/>
        <w:spacing w:lineRule="exact" w:line="590"/>
        <w:rPr>
          <w:rFonts w:ascii="仿宋_GB2312" w:hAnsi="仿宋_GB2312" w:eastAsia="仿宋_GB2312" w:cs="仿宋_GB2312"/>
          <w:color w:val="000000"/>
          <w:sz w:val="32"/>
          <w:szCs w:val="32"/>
        </w:rPr>
      </w:pPr>
      <w:r>
        <w:rPr>
          <w:rFonts w:eastAsia="仿宋_GB2312" w:cs="仿宋_GB2312" w:hint="eastAsia" w:ascii="仿宋_GB2312" w:hAnsi="仿宋_GB2312"/>
          <w:color w:val="000000"/>
          <w:kern w:val="0"/>
          <w:sz w:val="32"/>
          <w:szCs w:val="32"/>
          <w:shd w:fill="FFFFFF" w:val="clear"/>
        </w:rPr>
        <w:t xml:space="preserve">    </w:t>
      </w:r>
      <w:r>
        <w:rPr>
          <w:rFonts w:eastAsia="仿宋_GB2312" w:cs="仿宋_GB2312" w:hint="eastAsia" w:ascii="仿宋_GB2312" w:hAnsi="仿宋_GB2312"/>
          <w:color w:val="000000"/>
          <w:kern w:val="0"/>
          <w:sz w:val="32"/>
          <w:szCs w:val="32"/>
          <w:shd w:fill="FFFFFF" w:val="clear"/>
        </w:rPr>
        <w:t>3</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设立装卸垃圾、油类及其他有毒有害物品的码头；</w:t>
      </w:r>
    </w:p>
    <w:p>
      <w:pPr>
        <w:pStyle w:val="Normal"/>
        <w:snapToGrid w:val="false"/>
        <w:spacing w:lineRule="exact" w:line="59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建设畜禽粪便晾晒场；</w:t>
      </w:r>
    </w:p>
    <w:p>
      <w:pPr>
        <w:pStyle w:val="Normal"/>
        <w:snapToGrid w:val="false"/>
        <w:spacing w:lineRule="exact" w:line="59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开发房地产；</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施用高毒、高残留农药。</w:t>
      </w:r>
    </w:p>
    <w:p>
      <w:pPr>
        <w:pStyle w:val="3-"/>
        <w:snapToGrid w:val="false"/>
        <w:spacing w:lineRule="exact" w:line="590"/>
        <w:ind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（二）在一级保护区内，禁止下列行为：</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新建、改建、扩建油库；</w:t>
      </w:r>
    </w:p>
    <w:p>
      <w:pPr>
        <w:pStyle w:val="HTML1"/>
        <w:snapToGrid w:val="false"/>
        <w:spacing w:lineRule="exact" w:line="590"/>
        <w:ind w:firstLineChars="200" w:startChars="0" w:start="0" w:endChars="0" w:end="0"/>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放养畜禽；</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非因供水或者水源保护需要，新建、改建、扩建码头以及通行船只、排筏或者其他自制工具；</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农业种植；</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使用化肥、农药</w:t>
      </w:r>
      <w:r>
        <w:rPr>
          <w:rFonts w:eastAsia="仿宋_GB2312" w:cs="仿宋_GB2312" w:hint="eastAsia" w:ascii="仿宋_GB2312" w:hAnsi="仿宋_GB2312"/>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排放垃圾、粪便和其他可能污染水源的废弃物</w:t>
      </w:r>
      <w:r>
        <w:rPr>
          <w:rFonts w:eastAsia="仿宋_GB2312" w:cs="仿宋_GB2312" w:hint="eastAsia" w:ascii="仿宋_GB2312" w:hAnsi="仿宋_GB2312"/>
          <w:color w:val="000000"/>
          <w:sz w:val="32"/>
          <w:szCs w:val="32"/>
        </w:rPr>
        <w:t xml:space="preserve">; </w:t>
      </w:r>
    </w:p>
    <w:p>
      <w:pPr>
        <w:pStyle w:val="HTML1"/>
        <w:snapToGrid w:val="false"/>
        <w:spacing w:lineRule="exact" w:line="590"/>
        <w:ind w:firstLineChars="200" w:startChars="0" w:start="0" w:endChars="0" w:end="0"/>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建立墓地和掩埋动物尸体</w:t>
      </w:r>
      <w:r>
        <w:rPr>
          <w:rFonts w:eastAsia="仿宋_GB2312" w:cs="仿宋_GB2312" w:hint="eastAsia" w:ascii="仿宋_GB2312" w:hAnsi="仿宋_GB2312"/>
          <w:color w:val="000000"/>
          <w:sz w:val="32"/>
          <w:szCs w:val="32"/>
        </w:rPr>
        <w:t xml:space="preserve">; </w:t>
      </w:r>
    </w:p>
    <w:p>
      <w:pPr>
        <w:pStyle w:val="Normal"/>
        <w:widowControl/>
        <w:snapToGrid w:val="false"/>
        <w:spacing w:lineRule="exact" w:line="590"/>
        <w:ind w:firstLineChars="200" w:startChars="0" w:start="0" w:endChars="0" w:end="0"/>
        <w:rPr>
          <w:rFonts w:ascii="仿宋_GB2312" w:hAnsi="仿宋_GB2312" w:eastAsia="仿宋_GB2312" w:cs="仿宋_GB2312"/>
          <w:color w:val="000000"/>
          <w:kern w:val="0"/>
          <w:sz w:val="32"/>
          <w:szCs w:val="32"/>
        </w:rPr>
      </w:pPr>
      <w:r>
        <w:rPr>
          <w:rFonts w:eastAsia="仿宋_GB2312" w:cs="仿宋_GB2312" w:hint="eastAsia" w:ascii="仿宋_GB2312" w:hAnsi="仿宋_GB2312"/>
          <w:color w:val="000000"/>
          <w:kern w:val="0"/>
          <w:sz w:val="32"/>
          <w:szCs w:val="32"/>
        </w:rPr>
        <w:t>8.</w:t>
      </w:r>
      <w:r>
        <w:rPr>
          <w:rFonts w:ascii="仿宋_GB2312" w:hAnsi="仿宋_GB2312" w:cs="仿宋_GB2312" w:hint="eastAsia" w:eastAsia="仿宋_GB2312"/>
          <w:color w:val="000000"/>
          <w:kern w:val="0"/>
          <w:sz w:val="32"/>
          <w:szCs w:val="32"/>
        </w:rPr>
        <w:t>在水体中</w:t>
      </w:r>
      <w:r>
        <w:rPr>
          <w:rFonts w:ascii="仿宋_GB2312" w:hAnsi="仿宋_GB2312" w:cs="仿宋_GB2312" w:hint="eastAsia" w:eastAsia="仿宋_GB2312"/>
          <w:color w:val="000000"/>
          <w:sz w:val="32"/>
          <w:szCs w:val="32"/>
          <w:shd w:fill="FFFFFF" w:val="clear"/>
        </w:rPr>
        <w:t>洗刷</w:t>
      </w:r>
      <w:r>
        <w:rPr>
          <w:rFonts w:ascii="仿宋_GB2312" w:hAnsi="仿宋_GB2312" w:cs="仿宋_GB2312" w:hint="eastAsia" w:eastAsia="仿宋_GB2312"/>
          <w:color w:val="000000"/>
          <w:kern w:val="0"/>
          <w:sz w:val="32"/>
          <w:szCs w:val="32"/>
        </w:rPr>
        <w:t>衣物或者其他生活物品；</w:t>
      </w:r>
    </w:p>
    <w:p>
      <w:pPr>
        <w:pStyle w:val="HTML1"/>
        <w:snapToGrid w:val="false"/>
        <w:spacing w:lineRule="exact" w:line="590"/>
        <w:ind w:firstLineChars="200" w:startChars="0" w:start="0" w:endChars="0" w:end="0"/>
        <w:jc w:val="both"/>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组织进行水上训练、露营、餐饮。</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在二级保护区内禁止的行为，在一级保护区内同时禁止。</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严禁运输危险化学品、危险废物等有毒有害物质的车辆擅自驶入水源保护区；确需驶入的，应当报经市人民政府公安机关批准。运输车辆应当悬挂明显标志并采取有效的防溢、防漏、防扩散等措施。</w:t>
      </w:r>
    </w:p>
    <w:p>
      <w:pPr>
        <w:pStyle w:val="Normal"/>
        <w:snapToGrid w:val="false"/>
        <w:spacing w:lineRule="exact" w:line="590"/>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Normal"/>
        <w:snapToGrid w:val="false"/>
        <w:spacing w:lineRule="exact" w:line="590"/>
        <w:jc w:val="center"/>
        <w:rPr>
          <w:rFonts w:ascii="黑体" w:hAnsi="黑体" w:eastAsia="黑体" w:cs="黑体"/>
          <w:bCs/>
          <w:color w:val="000000"/>
          <w:sz w:val="32"/>
          <w:szCs w:val="32"/>
        </w:rPr>
      </w:pPr>
      <w:r>
        <w:rPr>
          <w:rFonts w:ascii="黑体" w:hAnsi="黑体" w:cs="黑体" w:hint="eastAsia" w:eastAsia="黑体"/>
          <w:bCs/>
          <w:color w:val="000000"/>
          <w:sz w:val="32"/>
          <w:szCs w:val="32"/>
        </w:rPr>
        <w:t>第三章  监督管理</w:t>
      </w:r>
    </w:p>
    <w:p>
      <w:pPr>
        <w:pStyle w:val="Normal"/>
        <w:snapToGrid w:val="false"/>
        <w:spacing w:lineRule="exact" w:line="590"/>
        <w:ind w:firstLineChars="200" w:startChars="0" w:start="0" w:endChars="0" w:end="0"/>
        <w:rPr>
          <w:rFonts w:ascii="黑体" w:hAnsi="黑体" w:eastAsia="黑体" w:cs="黑体"/>
          <w:bCs/>
          <w:color w:val="000000"/>
          <w:sz w:val="32"/>
          <w:szCs w:val="32"/>
        </w:rPr>
      </w:pPr>
      <w:r>
        <w:rPr>
          <w:rFonts w:eastAsia="黑体" w:cs="黑体" w:ascii="黑体" w:hAnsi="黑体"/>
          <w:bCs/>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市人民政府应当建立沟通协调机制，防止跨市界的水源污染。</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市、县、乡（镇）人民政府应当按照国家和省河（湖、库）长制工作的规定，做好锦凌水库和入库河流的水资源保护、水域岸线管理、水污染防治、水环境治理和水生态保护等工作。</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市人民政府应当加强水源保护区网格化环境监管体系建设，落实水源保护区环境监管主体职责。</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市、县人民政府应当建立多部门联合执法机制，开展常态化执法巡查，及时发现、制止和处理影响水源安全的行为。</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市、县人民政府生态环境主管部门应当定期对水源水质状况进行监测，在突发水污染事件等特殊时段应当扩大监测范围，增加监测频次和项目。</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水库管理单位应当做好下列水源保护管理工作：</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（一）配合生态环境等部门在水库库区合理布设水质监测点；</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（二）加强库区、管理范围内供水工程设施的保护和管理；</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（三）开展水库日常巡查和保洁工作；</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（四）对保护区内损害水源以及损毁供水工程设施、保护区</w:t>
      </w:r>
      <w:r>
        <w:rPr>
          <w:rFonts w:ascii="仿宋_GB2312" w:hAnsi="仿宋_GB2312" w:cs="仿宋_GB2312" w:hint="eastAsia" w:eastAsia="仿宋_GB2312"/>
          <w:color w:val="000000"/>
          <w:kern w:val="0"/>
          <w:sz w:val="32"/>
          <w:szCs w:val="32"/>
          <w:shd w:fill="FFFFFF" w:val="clear"/>
          <w:lang w:bidi="ar"/>
        </w:rPr>
        <w:t>地理界标、警示标志、隔离防护设施</w:t>
      </w:r>
      <w:r>
        <w:rPr>
          <w:rFonts w:ascii="仿宋_GB2312" w:hAnsi="仿宋_GB2312" w:cs="仿宋_GB2312" w:hint="eastAsia" w:eastAsia="仿宋_GB2312"/>
          <w:color w:val="000000"/>
          <w:sz w:val="32"/>
          <w:szCs w:val="32"/>
        </w:rPr>
        <w:t>等违法行为进行劝阻和依法制止，及时报告并协助有关部门进行查处；</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（五）加强对退耕后已移交土地的日常管理，防止复耕。</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市、县人民政府应当组织制定水源污染事故应急处置预案</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发生或者可能发生造成水源污染的突发性事故时</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应当依法启动相应的应急预案</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做好应急供水准备。水源污染事故跨行政区域的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应当及时将有关情况通报可能受污染事故影响地区的人民政府</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并报告共同的上一级人民政府。</w:t>
      </w:r>
    </w:p>
    <w:p>
      <w:pPr>
        <w:pStyle w:val="Normal"/>
        <w:snapToGrid w:val="false"/>
        <w:spacing w:lineRule="exact" w:line="59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0"/>
        <w:jc w:val="center"/>
        <w:rPr>
          <w:rFonts w:ascii="黑体" w:hAnsi="黑体" w:eastAsia="黑体" w:cs="黑体"/>
          <w:color w:val="000000"/>
          <w:sz w:val="32"/>
          <w:szCs w:val="32"/>
        </w:rPr>
      </w:pPr>
      <w:r>
        <w:rPr>
          <w:rFonts w:ascii="黑体" w:hAnsi="黑体" w:cs="黑体" w:hint="eastAsia" w:eastAsia="黑体"/>
          <w:color w:val="000000"/>
          <w:sz w:val="32"/>
          <w:szCs w:val="32"/>
        </w:rPr>
        <w:t>第四章  法律责任</w:t>
      </w:r>
    </w:p>
    <w:p>
      <w:pPr>
        <w:pStyle w:val="Normal"/>
        <w:snapToGrid w:val="false"/>
        <w:spacing w:lineRule="exact" w:line="59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违反本条例规定，有下列行为之一的，由生态环境主管部门责令停止违法行为，予以相应处罚：</w:t>
      </w:r>
    </w:p>
    <w:p>
      <w:pPr>
        <w:pStyle w:val="Normal"/>
        <w:snapToGrid w:val="false"/>
        <w:spacing w:lineRule="exact" w:line="59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（一）在一级保护区内新建、改建、扩建油库的</w:t>
      </w:r>
      <w:r>
        <w:rPr>
          <w:rFonts w:eastAsia="仿宋_GB2312" w:cs="仿宋_GB2312" w:hint="eastAsia" w:ascii="仿宋_GB2312" w:hAnsi="仿宋_GB2312"/>
          <w:color w:val="000000"/>
          <w:sz w:val="32"/>
          <w:szCs w:val="32"/>
        </w:rPr>
        <w:t>;</w:t>
      </w:r>
    </w:p>
    <w:p>
      <w:pPr>
        <w:pStyle w:val="Normal"/>
        <w:spacing w:lineRule="exact" w:line="590"/>
        <w:jc w:val="start"/>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（二）在一级保护区内非因供水或者水源保护需要，新建、改建、扩建码头以及通行船只、排筏或者其他自制工具的；</w:t>
      </w:r>
    </w:p>
    <w:p>
      <w:pPr>
        <w:pStyle w:val="Normal"/>
        <w:snapToGrid w:val="false"/>
        <w:spacing w:lineRule="exact" w:line="59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（三）在一级保护区内使用化肥、农药的</w:t>
      </w:r>
      <w:r>
        <w:rPr>
          <w:rFonts w:eastAsia="仿宋_GB2312" w:cs="仿宋_GB2312" w:hint="eastAsia" w:ascii="仿宋_GB2312" w:hAnsi="仿宋_GB2312"/>
          <w:color w:val="000000"/>
          <w:sz w:val="32"/>
          <w:szCs w:val="32"/>
        </w:rPr>
        <w:t>;</w:t>
      </w:r>
    </w:p>
    <w:p>
      <w:pPr>
        <w:pStyle w:val="Normal"/>
        <w:snapToGrid w:val="false"/>
        <w:spacing w:lineRule="exact" w:line="59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（四）在二级保护区内施用高毒、高残留农药的。</w:t>
      </w:r>
    </w:p>
    <w:p>
      <w:pPr>
        <w:pStyle w:val="Normal"/>
        <w:snapToGrid w:val="false"/>
        <w:spacing w:lineRule="exact" w:line="590"/>
        <w:rPr>
          <w:rFonts w:ascii="仿宋_GB2312" w:hAnsi="仿宋_GB2312" w:eastAsia="仿宋_GB2312" w:cs="仿宋_GB2312"/>
          <w:color w:val="000000"/>
          <w:sz w:val="32"/>
          <w:szCs w:val="32"/>
          <w:shd w:fill="FFFFFF" w:val="clear"/>
        </w:rPr>
      </w:pPr>
      <w:r>
        <w:rPr>
          <w:rFonts w:eastAsia="仿宋_GB2312" w:cs="仿宋_GB2312" w:hint="eastAsia" w:ascii="仿宋_GB2312" w:hAnsi="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有前款第一项行为、第二项</w:t>
      </w:r>
      <w:r>
        <w:rPr>
          <w:rFonts w:ascii="仿宋_GB2312" w:hAnsi="仿宋_GB2312" w:cs="仿宋_GB2312" w:hint="eastAsia" w:eastAsia="仿宋_GB2312"/>
          <w:color w:val="000000"/>
          <w:sz w:val="32"/>
          <w:szCs w:val="32"/>
        </w:rPr>
        <w:t>在一级保护区内非因供水或者水源保护需要新建、改建、扩建码头</w:t>
      </w:r>
      <w:r>
        <w:rPr>
          <w:rFonts w:ascii="仿宋_GB2312" w:hAnsi="仿宋_GB2312" w:cs="仿宋_GB2312" w:hint="eastAsia" w:eastAsia="仿宋_GB2312"/>
          <w:color w:val="000000"/>
          <w:sz w:val="32"/>
          <w:szCs w:val="32"/>
          <w:shd w:fill="FFFFFF" w:val="clear"/>
        </w:rPr>
        <w:t>行为之一的，</w:t>
      </w:r>
      <w:r>
        <w:rPr>
          <w:rFonts w:ascii="仿宋_GB2312" w:hAnsi="仿宋_GB2312" w:cs="仿宋_GB2312" w:hint="eastAsia" w:eastAsia="仿宋_GB2312"/>
          <w:color w:val="000000"/>
          <w:kern w:val="0"/>
          <w:sz w:val="32"/>
          <w:szCs w:val="32"/>
          <w:shd w:fill="FFFFFF" w:val="clear"/>
        </w:rPr>
        <w:t>处十万元罚款，并</w:t>
      </w:r>
      <w:r>
        <w:rPr>
          <w:rFonts w:ascii="仿宋_GB2312" w:hAnsi="仿宋_GB2312" w:cs="仿宋_GB2312" w:hint="eastAsia" w:eastAsia="仿宋_GB2312"/>
          <w:color w:val="000000"/>
          <w:sz w:val="32"/>
          <w:szCs w:val="32"/>
          <w:shd w:fill="FFFFFF" w:val="clear"/>
        </w:rPr>
        <w:t>依法</w:t>
      </w:r>
      <w:r>
        <w:rPr>
          <w:rFonts w:ascii="仿宋_GB2312" w:hAnsi="仿宋_GB2312" w:cs="仿宋_GB2312" w:hint="eastAsia" w:eastAsia="仿宋_GB2312"/>
          <w:color w:val="000000"/>
          <w:kern w:val="0"/>
          <w:sz w:val="32"/>
          <w:szCs w:val="32"/>
          <w:shd w:fill="FFFFFF" w:val="clear"/>
        </w:rPr>
        <w:t>报经有批准权的人民政府批准，责令拆除或者关闭。</w:t>
      </w:r>
      <w:r>
        <w:rPr>
          <w:rFonts w:ascii="仿宋_GB2312" w:hAnsi="仿宋_GB2312" w:cs="仿宋_GB2312" w:hint="eastAsia" w:eastAsia="仿宋_GB2312"/>
          <w:color w:val="000000"/>
          <w:sz w:val="32"/>
          <w:szCs w:val="32"/>
          <w:shd w:fill="FFFFFF" w:val="clear"/>
        </w:rPr>
        <w:t>有前款第二项</w:t>
      </w:r>
      <w:r>
        <w:rPr>
          <w:rFonts w:ascii="仿宋_GB2312" w:hAnsi="仿宋_GB2312" w:cs="仿宋_GB2312" w:hint="eastAsia" w:eastAsia="仿宋_GB2312"/>
          <w:color w:val="000000"/>
          <w:sz w:val="32"/>
          <w:szCs w:val="32"/>
        </w:rPr>
        <w:t>在一级保护区内非因供水或者水源保护需要通行船只、排筏或者其他自制工具的行为</w:t>
      </w:r>
      <w:r>
        <w:rPr>
          <w:rFonts w:ascii="仿宋_GB2312" w:hAnsi="仿宋_GB2312" w:cs="仿宋_GB2312" w:hint="eastAsia" w:eastAsia="仿宋_GB2312"/>
          <w:color w:val="000000"/>
          <w:sz w:val="32"/>
          <w:szCs w:val="32"/>
          <w:shd w:fill="FFFFFF" w:val="clear"/>
        </w:rPr>
        <w:t>、第三项行为、第四项行为之一的，</w:t>
      </w:r>
      <w:r>
        <w:rPr>
          <w:rFonts w:ascii="仿宋_GB2312" w:hAnsi="仿宋_GB2312" w:cs="仿宋_GB2312" w:hint="eastAsia" w:eastAsia="仿宋_GB2312"/>
          <w:color w:val="000000"/>
          <w:sz w:val="32"/>
          <w:szCs w:val="32"/>
        </w:rPr>
        <w:t>对个人处五百元罚款，对单位处十万元罚款。</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shd w:fill="FFFFFF" w:val="clear"/>
        </w:rPr>
      </w:pPr>
      <w:r>
        <w:rPr>
          <w:rFonts w:ascii="黑体" w:hAnsi="黑体" w:cs="黑体" w:hint="eastAsia" w:eastAsia="黑体"/>
          <w:color w:val="000000"/>
          <w:sz w:val="32"/>
          <w:szCs w:val="32"/>
          <w:shd w:fill="FFFFFF" w:val="clear"/>
        </w:rPr>
        <w:t xml:space="preserve">第十七条  </w:t>
      </w:r>
      <w:r>
        <w:rPr>
          <w:rFonts w:ascii="仿宋_GB2312" w:hAnsi="仿宋_GB2312" w:cs="仿宋_GB2312" w:hint="eastAsia" w:eastAsia="仿宋_GB2312"/>
          <w:color w:val="000000"/>
          <w:sz w:val="32"/>
          <w:szCs w:val="32"/>
          <w:shd w:fill="FFFFFF" w:val="clear"/>
        </w:rPr>
        <w:t>违反本条例规定，有下列行为之一的，由生态环境主管部门责令停止违法行为，限期改正，予以相应处罚：</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rPr>
        <w:t>（一）</w:t>
      </w:r>
      <w:r>
        <w:rPr>
          <w:rFonts w:ascii="仿宋_GB2312" w:hAnsi="仿宋_GB2312" w:cs="仿宋_GB2312" w:hint="eastAsia" w:eastAsia="仿宋_GB2312"/>
          <w:color w:val="000000"/>
          <w:sz w:val="32"/>
          <w:szCs w:val="32"/>
          <w:shd w:fill="FFFFFF" w:val="clear"/>
        </w:rPr>
        <w:t>在一级、二级保护区处置生活垃圾的，处十万元以上五十万元以下的罚款，</w:t>
      </w:r>
      <w:r>
        <w:rPr>
          <w:rFonts w:ascii="仿宋_GB2312" w:hAnsi="仿宋_GB2312" w:cs="仿宋_GB2312" w:hint="eastAsia" w:eastAsia="仿宋_GB2312"/>
          <w:color w:val="000000"/>
          <w:kern w:val="0"/>
          <w:sz w:val="32"/>
          <w:szCs w:val="32"/>
          <w:shd w:fill="FFFFFF" w:val="clear"/>
        </w:rPr>
        <w:t>并</w:t>
      </w:r>
      <w:r>
        <w:rPr>
          <w:rFonts w:ascii="仿宋_GB2312" w:hAnsi="仿宋_GB2312" w:cs="仿宋_GB2312" w:hint="eastAsia" w:eastAsia="仿宋_GB2312"/>
          <w:color w:val="000000"/>
          <w:sz w:val="32"/>
          <w:szCs w:val="32"/>
          <w:shd w:fill="FFFFFF" w:val="clear"/>
        </w:rPr>
        <w:t>依法</w:t>
      </w:r>
      <w:r>
        <w:rPr>
          <w:rFonts w:ascii="仿宋_GB2312" w:hAnsi="仿宋_GB2312" w:cs="仿宋_GB2312" w:hint="eastAsia" w:eastAsia="仿宋_GB2312"/>
          <w:color w:val="000000"/>
          <w:kern w:val="0"/>
          <w:sz w:val="32"/>
          <w:szCs w:val="32"/>
          <w:shd w:fill="FFFFFF" w:val="clear"/>
        </w:rPr>
        <w:t>报经有批准权的人民政府批准，责令拆除或者关闭</w:t>
      </w:r>
      <w:r>
        <w:rPr>
          <w:rFonts w:ascii="仿宋_GB2312" w:hAnsi="仿宋_GB2312" w:cs="仿宋_GB2312" w:hint="eastAsia" w:eastAsia="仿宋_GB2312"/>
          <w:color w:val="000000"/>
          <w:sz w:val="32"/>
          <w:szCs w:val="32"/>
          <w:shd w:fill="FFFFFF" w:val="clear"/>
        </w:rPr>
        <w:t>；</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rPr>
        <w:t>（二）在水源准保护区、保护区</w:t>
      </w:r>
      <w:r>
        <w:rPr>
          <w:rFonts w:ascii="仿宋_GB2312" w:hAnsi="仿宋_GB2312" w:cs="仿宋_GB2312" w:hint="eastAsia" w:eastAsia="仿宋_GB2312"/>
          <w:color w:val="000000"/>
          <w:sz w:val="32"/>
          <w:szCs w:val="32"/>
          <w:shd w:fill="FFFFFF" w:val="clear"/>
        </w:rPr>
        <w:t>堆放、贮存化工原料、矿物油类及有毒有害物质，倾倒、堆放工业固体废物和其他有毒有害废弃物的，处一万元以上十万元以下的罚款；</w:t>
      </w:r>
    </w:p>
    <w:p>
      <w:pPr>
        <w:pStyle w:val="Normal"/>
        <w:snapToGrid w:val="false"/>
        <w:spacing w:lineRule="exact" w:line="590"/>
        <w:ind w:firstLineChars="200" w:startChars="0" w:start="0" w:endChars="0" w:end="0"/>
        <w:rPr>
          <w:rFonts w:ascii="仿宋_GB2312" w:hAnsi="仿宋_GB2312" w:eastAsia="仿宋_GB2312" w:cs="仿宋_GB2312"/>
          <w:color w:val="000000"/>
          <w:kern w:val="0"/>
          <w:sz w:val="32"/>
          <w:szCs w:val="32"/>
          <w:shd w:fill="FFFFFF" w:val="clear"/>
        </w:rPr>
      </w:pPr>
      <w:r>
        <w:rPr>
          <w:rFonts w:ascii="仿宋_GB2312" w:hAnsi="仿宋_GB2312" w:cs="仿宋_GB2312" w:hint="eastAsia" w:eastAsia="仿宋_GB2312"/>
          <w:color w:val="000000"/>
          <w:sz w:val="32"/>
          <w:szCs w:val="32"/>
          <w:shd w:fill="FFFFFF" w:val="clear"/>
        </w:rPr>
        <w:t>（三）在一级、二级保护区</w:t>
      </w:r>
      <w:r>
        <w:rPr>
          <w:rFonts w:ascii="仿宋_GB2312" w:hAnsi="仿宋_GB2312" w:cs="仿宋_GB2312" w:hint="eastAsia" w:eastAsia="仿宋_GB2312"/>
          <w:color w:val="000000"/>
          <w:sz w:val="32"/>
          <w:szCs w:val="32"/>
        </w:rPr>
        <w:t>建设畜禽粪便晾晒场</w:t>
      </w:r>
      <w:r>
        <w:rPr>
          <w:rFonts w:ascii="仿宋_GB2312" w:hAnsi="仿宋_GB2312" w:cs="仿宋_GB2312" w:hint="eastAsia" w:eastAsia="仿宋_GB2312"/>
          <w:color w:val="000000"/>
          <w:kern w:val="0"/>
          <w:sz w:val="32"/>
          <w:szCs w:val="32"/>
        </w:rPr>
        <w:t>，</w:t>
      </w:r>
      <w:r>
        <w:rPr>
          <w:rFonts w:ascii="仿宋_GB2312" w:hAnsi="仿宋_GB2312" w:cs="仿宋_GB2312" w:hint="eastAsia" w:eastAsia="仿宋_GB2312"/>
          <w:color w:val="000000"/>
          <w:kern w:val="0"/>
          <w:sz w:val="32"/>
          <w:szCs w:val="32"/>
          <w:shd w:fill="FFFFFF" w:val="clear"/>
          <w:lang w:bidi="ar"/>
        </w:rPr>
        <w:t>处二万元以上十万元以下的罚款，并</w:t>
      </w:r>
      <w:r>
        <w:rPr>
          <w:rFonts w:ascii="仿宋_GB2312" w:hAnsi="仿宋_GB2312" w:cs="仿宋_GB2312" w:hint="eastAsia" w:eastAsia="仿宋_GB2312"/>
          <w:color w:val="000000"/>
          <w:sz w:val="32"/>
          <w:szCs w:val="32"/>
          <w:shd w:fill="FFFFFF" w:val="clear"/>
        </w:rPr>
        <w:t>依法</w:t>
      </w:r>
      <w:r>
        <w:rPr>
          <w:rFonts w:ascii="仿宋_GB2312" w:hAnsi="仿宋_GB2312" w:cs="仿宋_GB2312" w:hint="eastAsia" w:eastAsia="仿宋_GB2312"/>
          <w:color w:val="000000"/>
          <w:kern w:val="0"/>
          <w:sz w:val="32"/>
          <w:szCs w:val="32"/>
          <w:shd w:fill="FFFFFF" w:val="clear"/>
        </w:rPr>
        <w:t>报经有批准权的人民政府批准，责令拆除或者关闭；</w:t>
      </w:r>
    </w:p>
    <w:p>
      <w:pPr>
        <w:pStyle w:val="Normal"/>
        <w:snapToGrid w:val="false"/>
        <w:spacing w:lineRule="exact" w:line="590"/>
        <w:ind w:firstLineChars="200" w:startChars="0" w:start="0" w:endChars="0" w:end="0"/>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shd w:fill="FFFFFF" w:val="clear"/>
        </w:rPr>
        <w:t>（四）</w:t>
      </w:r>
      <w:r>
        <w:rPr>
          <w:rFonts w:ascii="仿宋_GB2312" w:hAnsi="仿宋_GB2312" w:cs="仿宋_GB2312" w:hint="eastAsia" w:eastAsia="仿宋_GB2312"/>
          <w:color w:val="000000"/>
          <w:kern w:val="0"/>
          <w:sz w:val="32"/>
          <w:szCs w:val="32"/>
        </w:rPr>
        <w:t>在一级保护区从事农业种植以及组织进行</w:t>
      </w:r>
      <w:r>
        <w:rPr>
          <w:rFonts w:ascii="仿宋_GB2312" w:hAnsi="仿宋_GB2312" w:cs="仿宋_GB2312" w:hint="eastAsia" w:eastAsia="仿宋_GB2312"/>
          <w:color w:val="000000"/>
          <w:sz w:val="32"/>
          <w:szCs w:val="32"/>
        </w:rPr>
        <w:t>水上训练、露营、</w:t>
      </w:r>
      <w:r>
        <w:rPr>
          <w:rFonts w:ascii="仿宋_GB2312" w:hAnsi="仿宋_GB2312" w:cs="仿宋_GB2312" w:hint="eastAsia" w:eastAsia="仿宋_GB2312"/>
          <w:color w:val="000000"/>
          <w:kern w:val="0"/>
          <w:sz w:val="32"/>
          <w:szCs w:val="32"/>
        </w:rPr>
        <w:t>餐饮</w:t>
      </w:r>
      <w:r>
        <w:rPr>
          <w:rFonts w:ascii="仿宋_GB2312" w:hAnsi="仿宋_GB2312" w:cs="仿宋_GB2312" w:hint="eastAsia" w:eastAsia="仿宋_GB2312"/>
          <w:color w:val="000000"/>
          <w:sz w:val="32"/>
          <w:szCs w:val="32"/>
        </w:rPr>
        <w:t>活动的，</w:t>
      </w:r>
      <w:r>
        <w:rPr>
          <w:rFonts w:ascii="仿宋_GB2312" w:hAnsi="仿宋_GB2312" w:cs="仿宋_GB2312" w:hint="eastAsia" w:eastAsia="仿宋_GB2312"/>
          <w:color w:val="000000"/>
          <w:kern w:val="0"/>
          <w:sz w:val="32"/>
          <w:szCs w:val="32"/>
          <w:shd w:fill="FFFFFF" w:val="clear"/>
          <w:lang w:bidi="ar"/>
        </w:rPr>
        <w:t>处二万元以上十万元以下的罚款；个人在一级保护区从事</w:t>
      </w:r>
      <w:r>
        <w:rPr>
          <w:rFonts w:ascii="仿宋_GB2312" w:hAnsi="仿宋_GB2312" w:cs="仿宋_GB2312" w:hint="eastAsia" w:eastAsia="仿宋_GB2312"/>
          <w:color w:val="000000"/>
          <w:kern w:val="0"/>
          <w:sz w:val="32"/>
          <w:szCs w:val="32"/>
        </w:rPr>
        <w:t>农业种植以及</w:t>
      </w:r>
      <w:r>
        <w:rPr>
          <w:rFonts w:ascii="仿宋_GB2312" w:hAnsi="仿宋_GB2312" w:cs="仿宋_GB2312" w:hint="eastAsia" w:eastAsia="仿宋_GB2312"/>
          <w:color w:val="000000"/>
          <w:sz w:val="32"/>
          <w:szCs w:val="32"/>
        </w:rPr>
        <w:t>水上训练、露营、</w:t>
      </w:r>
      <w:r>
        <w:rPr>
          <w:rFonts w:ascii="仿宋_GB2312" w:hAnsi="仿宋_GB2312" w:cs="仿宋_GB2312" w:hint="eastAsia" w:eastAsia="仿宋_GB2312"/>
          <w:color w:val="000000"/>
          <w:kern w:val="0"/>
          <w:sz w:val="32"/>
          <w:szCs w:val="32"/>
        </w:rPr>
        <w:t>餐饮</w:t>
      </w:r>
      <w:r>
        <w:rPr>
          <w:rFonts w:ascii="仿宋_GB2312" w:hAnsi="仿宋_GB2312" w:cs="仿宋_GB2312" w:hint="eastAsia" w:eastAsia="仿宋_GB2312"/>
          <w:color w:val="000000"/>
          <w:sz w:val="32"/>
          <w:szCs w:val="32"/>
        </w:rPr>
        <w:t>活动</w:t>
      </w:r>
      <w:r>
        <w:rPr>
          <w:rFonts w:ascii="仿宋_GB2312" w:hAnsi="仿宋_GB2312" w:cs="仿宋_GB2312" w:hint="eastAsia" w:eastAsia="仿宋_GB2312"/>
          <w:color w:val="000000"/>
          <w:kern w:val="0"/>
          <w:sz w:val="32"/>
          <w:szCs w:val="32"/>
        </w:rPr>
        <w:t>的，可以处五百元以下的罚款；</w:t>
      </w:r>
    </w:p>
    <w:p>
      <w:pPr>
        <w:pStyle w:val="Normal"/>
        <w:snapToGrid w:val="false"/>
        <w:spacing w:lineRule="exact" w:line="59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（五）在一级保护区排放建筑垃圾、生活垃圾、粪便</w:t>
      </w:r>
      <w:r>
        <w:rPr>
          <w:rFonts w:ascii="仿宋_GB2312" w:hAnsi="仿宋_GB2312" w:cs="仿宋_GB2312" w:hint="eastAsia" w:eastAsia="仿宋_GB2312"/>
          <w:color w:val="000000"/>
          <w:kern w:val="0"/>
          <w:sz w:val="32"/>
          <w:szCs w:val="32"/>
        </w:rPr>
        <w:t>的，</w:t>
      </w:r>
      <w:r>
        <w:rPr>
          <w:rFonts w:ascii="仿宋_GB2312" w:hAnsi="仿宋_GB2312" w:cs="仿宋_GB2312" w:hint="eastAsia" w:eastAsia="仿宋_GB2312"/>
          <w:color w:val="000000"/>
          <w:sz w:val="32"/>
          <w:szCs w:val="32"/>
        </w:rPr>
        <w:t>对单位处五千元以上五万元以下的罚款，对个人可以处五百元以下的罚款；</w:t>
      </w:r>
    </w:p>
    <w:p>
      <w:pPr>
        <w:pStyle w:val="Normal"/>
        <w:snapToGrid w:val="false"/>
        <w:spacing w:lineRule="exact" w:line="59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w:t>
      </w:r>
      <w:r>
        <w:rPr>
          <w:rFonts w:ascii="仿宋_GB2312" w:hAnsi="仿宋_GB2312" w:cs="仿宋_GB2312" w:hint="eastAsia" w:eastAsia="仿宋_GB2312"/>
          <w:color w:val="000000"/>
          <w:kern w:val="0"/>
          <w:sz w:val="32"/>
          <w:szCs w:val="32"/>
        </w:rPr>
        <w:t>在一级保护区放养畜禽</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kern w:val="0"/>
          <w:sz w:val="32"/>
          <w:szCs w:val="32"/>
        </w:rPr>
        <w:t>在水体中</w:t>
      </w:r>
      <w:r>
        <w:rPr>
          <w:rFonts w:ascii="仿宋_GB2312" w:hAnsi="仿宋_GB2312" w:cs="仿宋_GB2312" w:hint="eastAsia" w:eastAsia="仿宋_GB2312"/>
          <w:color w:val="000000"/>
          <w:sz w:val="32"/>
          <w:szCs w:val="32"/>
          <w:shd w:fill="FFFFFF" w:val="clear"/>
        </w:rPr>
        <w:t>洗刷</w:t>
      </w:r>
      <w:r>
        <w:rPr>
          <w:rFonts w:ascii="仿宋_GB2312" w:hAnsi="仿宋_GB2312" w:cs="仿宋_GB2312" w:hint="eastAsia" w:eastAsia="仿宋_GB2312"/>
          <w:color w:val="000000"/>
          <w:kern w:val="0"/>
          <w:sz w:val="32"/>
          <w:szCs w:val="32"/>
        </w:rPr>
        <w:t>衣物或者其他生活物品的</w:t>
      </w:r>
      <w:r>
        <w:rPr>
          <w:rFonts w:ascii="仿宋_GB2312" w:hAnsi="仿宋_GB2312" w:cs="仿宋_GB2312" w:hint="eastAsia" w:eastAsia="仿宋_GB2312"/>
          <w:color w:val="000000"/>
          <w:sz w:val="32"/>
          <w:szCs w:val="32"/>
          <w:shd w:fill="FFFFFF" w:val="clear"/>
        </w:rPr>
        <w:t>，</w:t>
      </w:r>
      <w:r>
        <w:rPr>
          <w:rFonts w:ascii="仿宋_GB2312" w:hAnsi="仿宋_GB2312" w:cs="仿宋_GB2312" w:hint="eastAsia" w:eastAsia="仿宋_GB2312"/>
          <w:color w:val="000000"/>
          <w:kern w:val="0"/>
          <w:sz w:val="32"/>
          <w:szCs w:val="32"/>
        </w:rPr>
        <w:t>可以处五百元以下的罚款</w:t>
      </w:r>
      <w:r>
        <w:rPr>
          <w:rFonts w:ascii="仿宋_GB2312" w:hAnsi="仿宋_GB2312" w:cs="仿宋_GB2312" w:hint="eastAsia" w:eastAsia="仿宋_GB2312"/>
          <w:color w:val="000000"/>
          <w:sz w:val="32"/>
          <w:szCs w:val="32"/>
          <w:shd w:fill="FFFFFF" w:val="clear"/>
        </w:rPr>
        <w:t>。</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违反本条例规定，造成水源污染事故的，由</w:t>
      </w:r>
      <w:r>
        <w:rPr>
          <w:rFonts w:ascii="仿宋_GB2312" w:hAnsi="仿宋_GB2312" w:cs="仿宋_GB2312" w:hint="eastAsia" w:eastAsia="仿宋_GB2312"/>
          <w:color w:val="000000"/>
          <w:sz w:val="32"/>
          <w:szCs w:val="32"/>
          <w:shd w:fill="FFFFFF" w:val="clear"/>
        </w:rPr>
        <w:t>生态环境主管部门</w:t>
      </w:r>
      <w:r>
        <w:rPr>
          <w:rFonts w:ascii="仿宋_GB2312" w:hAnsi="仿宋_GB2312" w:cs="仿宋_GB2312" w:hint="eastAsia" w:eastAsia="仿宋_GB2312"/>
          <w:color w:val="000000"/>
          <w:sz w:val="32"/>
          <w:szCs w:val="32"/>
        </w:rPr>
        <w:t>责令限期治理，消除污染</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未按照要求限期治理或者不具备治理能力的，由</w:t>
      </w:r>
      <w:r>
        <w:rPr>
          <w:rFonts w:ascii="仿宋_GB2312" w:hAnsi="仿宋_GB2312" w:cs="仿宋_GB2312" w:hint="eastAsia" w:eastAsia="仿宋_GB2312"/>
          <w:color w:val="000000"/>
          <w:sz w:val="32"/>
          <w:szCs w:val="32"/>
          <w:shd w:fill="FFFFFF" w:val="clear"/>
        </w:rPr>
        <w:t>生态环境主管部门</w:t>
      </w:r>
      <w:r>
        <w:rPr>
          <w:rFonts w:ascii="仿宋_GB2312" w:hAnsi="仿宋_GB2312" w:cs="仿宋_GB2312" w:hint="eastAsia" w:eastAsia="仿宋_GB2312"/>
          <w:color w:val="000000"/>
          <w:sz w:val="32"/>
          <w:szCs w:val="32"/>
        </w:rPr>
        <w:t>指定有治理能力的单位代为治理，所需费用由违法者承担。</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shd w:fill="FFFFFF" w:val="clear"/>
        </w:rPr>
        <w:t xml:space="preserve">第十九条  </w:t>
      </w:r>
      <w:r>
        <w:rPr>
          <w:rFonts w:ascii="仿宋_GB2312" w:hAnsi="仿宋_GB2312" w:cs="仿宋_GB2312" w:hint="eastAsia" w:eastAsia="仿宋_GB2312"/>
          <w:color w:val="000000"/>
          <w:sz w:val="32"/>
          <w:szCs w:val="32"/>
        </w:rPr>
        <w:t>有关部门、单位及其工作人员</w:t>
      </w:r>
      <w:r>
        <w:rPr>
          <w:rFonts w:ascii="仿宋_GB2312" w:hAnsi="仿宋_GB2312" w:cs="仿宋_GB2312" w:hint="eastAsia" w:eastAsia="仿宋_GB2312"/>
          <w:color w:val="000000"/>
          <w:sz w:val="32"/>
          <w:szCs w:val="32"/>
          <w:shd w:fill="FFFFFF" w:val="clear"/>
        </w:rPr>
        <w:t>在水源保护管理工作中</w:t>
      </w:r>
      <w:r>
        <w:rPr>
          <w:rFonts w:ascii="仿宋_GB2312" w:hAnsi="仿宋_GB2312" w:cs="仿宋_GB2312" w:hint="eastAsia" w:eastAsia="仿宋_GB2312"/>
          <w:color w:val="000000"/>
          <w:sz w:val="32"/>
          <w:szCs w:val="32"/>
        </w:rPr>
        <w:t>徇私舞弊、玩忽职守、滥用职权的，依法给予处分。</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违反本条例规定，</w:t>
      </w:r>
      <w:r>
        <w:rPr>
          <w:rFonts w:ascii="仿宋_GB2312" w:hAnsi="仿宋_GB2312" w:cs="仿宋_GB2312" w:hint="eastAsia" w:eastAsia="仿宋_GB2312"/>
          <w:color w:val="000000"/>
          <w:sz w:val="32"/>
          <w:szCs w:val="32"/>
          <w:shd w:fill="FFFFFF" w:val="clear"/>
        </w:rPr>
        <w:t>造成损失的，依法承担赔偿责任；</w:t>
      </w:r>
      <w:r>
        <w:rPr>
          <w:rFonts w:ascii="仿宋_GB2312" w:hAnsi="仿宋_GB2312" w:cs="仿宋_GB2312" w:hint="eastAsia" w:eastAsia="仿宋_GB2312"/>
          <w:color w:val="000000"/>
          <w:sz w:val="32"/>
          <w:szCs w:val="32"/>
        </w:rPr>
        <w:t>构成违反治安管理行为的，依照《中华人民共和国治安管理处罚法》的规定处理；</w:t>
      </w:r>
      <w:r>
        <w:rPr>
          <w:rFonts w:ascii="仿宋_GB2312" w:hAnsi="仿宋_GB2312" w:cs="仿宋_GB2312" w:hint="eastAsia" w:eastAsia="仿宋_GB2312"/>
          <w:bCs/>
          <w:color w:val="000000"/>
          <w:sz w:val="32"/>
          <w:szCs w:val="32"/>
        </w:rPr>
        <w:t>涉嫌犯罪的，依法追究刑事责任。</w:t>
      </w:r>
    </w:p>
    <w:p>
      <w:pPr>
        <w:pStyle w:val="Normal"/>
        <w:snapToGrid w:val="false"/>
        <w:spacing w:lineRule="exact" w:line="590"/>
        <w:ind w:firstLineChars="200" w:startChars="0" w:start="0" w:endChars="0" w:end="0"/>
        <w:rPr>
          <w:rFonts w:ascii="仿宋_GB2312" w:hAnsi="仿宋_GB2312" w:eastAsia="仿宋_GB2312" w:cs="仿宋_GB2312"/>
          <w:color w:val="000000"/>
          <w:sz w:val="32"/>
          <w:szCs w:val="32"/>
          <w:shd w:fill="FFFFFF" w:val="clear"/>
        </w:rPr>
      </w:pPr>
      <w:r>
        <w:rPr>
          <w:rFonts w:eastAsia="仿宋_GB2312" w:cs="仿宋_GB2312" w:ascii="仿宋_GB2312" w:hAnsi="仿宋_GB2312"/>
          <w:color w:val="000000"/>
          <w:sz w:val="32"/>
          <w:szCs w:val="32"/>
          <w:shd w:fill="FFFFFF" w:val="clear"/>
        </w:rPr>
      </w:r>
    </w:p>
    <w:p>
      <w:pPr>
        <w:pStyle w:val="Normal"/>
        <w:snapToGrid w:val="false"/>
        <w:spacing w:lineRule="exact" w:line="590"/>
        <w:jc w:val="center"/>
        <w:rPr>
          <w:rFonts w:ascii="黑体" w:hAnsi="黑体" w:eastAsia="黑体" w:cs="黑体"/>
          <w:bCs/>
          <w:color w:val="000000"/>
          <w:sz w:val="32"/>
          <w:szCs w:val="32"/>
        </w:rPr>
      </w:pPr>
      <w:r>
        <w:rPr>
          <w:rFonts w:ascii="黑体" w:hAnsi="黑体" w:cs="黑体" w:hint="eastAsia" w:eastAsia="黑体"/>
          <w:bCs/>
          <w:color w:val="000000"/>
          <w:sz w:val="32"/>
          <w:szCs w:val="32"/>
        </w:rPr>
        <w:t>第五章  附则</w:t>
      </w:r>
    </w:p>
    <w:p>
      <w:pPr>
        <w:pStyle w:val="Normal"/>
        <w:snapToGrid w:val="false"/>
        <w:spacing w:lineRule="exact" w:line="590"/>
        <w:ind w:firstLineChars="200" w:startChars="0" w:start="0" w:endChars="0" w:end="0"/>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Normal"/>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pacing w:lineRule="exact" w:line="590"/>
        <w:rPr>
          <w:rFonts w:ascii="仿宋" w:hAnsi="仿宋" w:eastAsia="仿宋" w:cs="仿宋"/>
          <w:color w:val="000000"/>
          <w:sz w:val="32"/>
          <w:szCs w:val="32"/>
        </w:rPr>
      </w:pPr>
      <w:r>
        <w:rPr>
          <w:rFonts w:eastAsia="仿宋" w:cs="仿宋" w:ascii="仿宋" w:hAnsi="仿宋"/>
          <w:color w:val="000000"/>
          <w:sz w:val="32"/>
          <w:szCs w:val="32"/>
        </w:rPr>
      </w:r>
    </w:p>
    <w:p>
      <w:pPr>
        <w:pStyle w:val="Normal"/>
        <w:spacing w:lineRule="exact" w:line="59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仿宋_GB2312">
    <w:charset w:val="86"/>
    <w:family w:val="modern"/>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2CharChar">
    <w:name w:val="标题 2 Char Char"/>
    <w:basedOn w:val="Style13"/>
    <w:qFormat/>
    <w:rPr>
      <w:rFonts w:ascii="等线 Light;宋体" w:hAnsi="等线 Light;宋体" w:eastAsia="华文楷体" w:cs="等线 Light;宋体"/>
      <w:bCs/>
      <w:kern w:val="2"/>
      <w:sz w:val="32"/>
      <w:szCs w:val="32"/>
      <w:lang w:bidi="ar-SA"/>
    </w:rPr>
  </w:style>
  <w:style w:type="character" w:styleId="apple-converted-space">
    <w:name w:val="apple-converted-space"/>
    <w:basedOn w:val="Style13"/>
    <w:qFormat/>
    <w:rPr/>
  </w:style>
  <w:style w:type="character" w:styleId="CharChar">
    <w:name w:val="页脚 Char Char"/>
    <w:basedOn w:val="Style13"/>
    <w:qFormat/>
    <w:rPr>
      <w:rFonts w:eastAsia="宋体"/>
      <w:kern w:val="2"/>
      <w:sz w:val="18"/>
      <w:szCs w:val="18"/>
      <w:lang w:bidi="ar-SA"/>
    </w:rPr>
  </w:style>
  <w:style w:type="character" w:styleId="Hyperlink">
    <w:name w:val="Hyperlink"/>
    <w:rPr>
      <w:color w:val="0000FF"/>
      <w:u w:val="single"/>
    </w:rPr>
  </w:style>
  <w:style w:type="character" w:styleId="PageNumber">
    <w:name w:val="page number"/>
    <w:basedOn w:val="Style13"/>
    <w:rPr/>
  </w:style>
  <w:style w:type="character" w:styleId="CharChar1">
    <w:name w:val="批注文字 Char Char"/>
    <w:basedOn w:val="Style13"/>
    <w:qFormat/>
    <w:rPr>
      <w:rFonts w:eastAsia="宋体"/>
      <w:kern w:val="2"/>
      <w:sz w:val="21"/>
      <w:lang w:bidi="ar-SA"/>
    </w:rPr>
  </w:style>
  <w:style w:type="character" w:styleId="CharChar2">
    <w:name w:val="纯文本 Char Char"/>
    <w:basedOn w:val="Style13"/>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6">
    <w:name w:val="纯文本"/>
    <w:basedOn w:val="Normal"/>
    <w:qFormat/>
    <w:pPr/>
    <w:rPr>
      <w:rFonts w:ascii="宋体" w:hAnsi="宋体" w:eastAsia="宋体" w:cs="Courier New"/>
      <w:kern w:val="2"/>
      <w:sz w:val="21"/>
      <w:szCs w:val="21"/>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2">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
    <w:name w:val="页脚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New1">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2"/>
    <w:qFormat/>
    <w:pPr>
      <w:ind w:firstLineChars="200" w:startChars="0" w:start="0" w:endChars="0" w:end="0"/>
    </w:pPr>
    <w:rPr>
      <w:rFonts w:ascii="Calibri" w:hAnsi="Calibri" w:eastAsia="宋体" w:cs="黑体"/>
      <w:szCs w:val="22"/>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1">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1">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2">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3-">
    <w:name w:val="3-正文"/>
    <w:basedOn w:val="Normal"/>
    <w:qFormat/>
    <w:pPr>
      <w:spacing w:lineRule="atLeast" w:line="400"/>
      <w:ind w:firstLineChars="200" w:startChars="0" w:start="0" w:endChars="0" w:end="0"/>
    </w:pPr>
    <w:rPr>
      <w:rFonts w:ascii="Calibri" w:hAnsi="Calibri" w:eastAsia="宋体" w:cs="Calibri"/>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2">
    <w:name w:val="页脚 New New New New"/>
    <w:basedOn w:val="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HTML1">
    <w:name w:val="HTML 地址1"/>
    <w:basedOn w:val="Normal"/>
    <w:qFormat/>
    <w:pPr>
      <w:widowControl/>
      <w:jc w:val="start"/>
    </w:pPr>
    <w:rPr>
      <w:rFonts w:ascii="宋体" w:hAnsi="宋体" w:eastAsia="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2020-05-08T15:32:00Z</dcterms:created>
  <dc:creator>1</dc:creator>
  <dc:description/>
  <dc:language>en-US</dc:language>
  <cp:lastModifiedBy>微软用户</cp:lastModifiedBy>
  <dcterms:modified xsi:type="dcterms:W3CDTF">2020-06-04T16:36:19Z</dcterms:modified>
  <cp:revision>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