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Web"/>
        <w:keepNext w:val="false"/>
        <w:keepLines w:val="false"/>
        <w:pageBreakBefore w:val="false"/>
        <w:widowControl w:val="false"/>
        <w:kinsoku w:val="true"/>
        <w:overflowPunct w:val="true"/>
        <w:autoSpaceDE w:val="true"/>
        <w:bidi w:val="0"/>
        <w:snapToGrid w:val="false"/>
        <w:spacing w:lineRule="exact" w:line="460" w:before="0" w:after="0"/>
        <w:ind w:end="45"/>
        <w:jc w:val="both"/>
        <w:textAlignment w:val="auto"/>
        <w:rPr>
          <w:rFonts w:ascii="宋体" w:hAnsi="宋体" w:eastAsia="宋体" w:cs="宋体" w:hint="eastAsia"/>
          <w:b w:val="false"/>
          <w:bCs/>
          <w:color w:val="000000"/>
          <w:sz w:val="32"/>
          <w:szCs w:val="32"/>
        </w:rPr>
      </w:pPr>
      <w:r>
        <w:rPr>
          <w:rFonts w:eastAsia="宋体" w:cs="宋体" w:hint="eastAsia"/>
          <w:b w:val="false"/>
          <w:bCs/>
          <w:color w:val="000000"/>
          <w:sz w:val="32"/>
          <w:szCs w:val="32"/>
        </w:rPr>
      </w:r>
    </w:p>
    <w:p>
      <w:pPr>
        <w:pStyle w:val="NewNew"/>
        <w:spacing w:lineRule="exact" w:line="700"/>
        <w:jc w:val="center"/>
        <w:rPr>
          <w:rFonts w:ascii="宋体" w:hAnsi="宋体" w:eastAsia="宋体" w:cs="Times New Roman" w:hint="eastAsia"/>
          <w:b w:val="false"/>
          <w:bCs/>
          <w:kern w:val="2"/>
          <w:sz w:val="44"/>
          <w:szCs w:val="44"/>
        </w:rPr>
      </w:pPr>
      <w:r>
        <w:rPr>
          <w:rFonts w:ascii="宋体" w:hAnsi="宋体" w:cs="Times New Roman" w:hint="eastAsia"/>
          <w:b w:val="false"/>
          <w:bCs/>
          <w:kern w:val="2"/>
          <w:sz w:val="44"/>
          <w:szCs w:val="44"/>
        </w:rPr>
        <w:t>辽宁省水利工程管理条例</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kinsoku w:val="true"/>
        <w:overflowPunct w:val="true"/>
        <w:autoSpaceDE w:val="true"/>
        <w:bidi w:val="0"/>
        <w:snapToGrid w:val="false"/>
        <w:spacing w:lineRule="exact" w:line="578" w:before="0" w:after="0"/>
        <w:ind w:firstLineChars="0" w:firstLine="0" w:startChars="300" w:endChars="300"/>
        <w:textAlignment w:val="auto"/>
        <w:rPr>
          <w:rFonts w:ascii="宋体" w:hAnsi="宋体" w:eastAsia="宋体" w:cs="宋体" w:hint="eastAsia"/>
          <w:b w:val="false"/>
          <w:bCs/>
          <w:kern w:val="0"/>
          <w:sz w:val="32"/>
          <w:szCs w:val="32"/>
        </w:rPr>
      </w:pPr>
      <w:r>
        <w:rPr>
          <w:rFonts w:eastAsia="宋体" w:cs="宋体" w:hint="eastAsia" w:ascii="宋体" w:hAnsi="宋体"/>
          <w:b w:val="false"/>
          <w:bCs/>
          <w:kern w:val="0"/>
          <w:sz w:val="32"/>
          <w:szCs w:val="32"/>
        </w:rPr>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kinsoku w:val="true"/>
        <w:overflowPunct w:val="true"/>
        <w:autoSpaceDE w:val="true"/>
        <w:bidi w:val="0"/>
        <w:snapToGrid w:val="false"/>
        <w:spacing w:lineRule="exact" w:line="578"/>
        <w:ind w:firstLineChars="0" w:firstLine="0" w:startChars="200" w:endChars="200"/>
        <w:textAlignment w:val="auto"/>
        <w:rPr>
          <w:rFonts w:ascii="楷体" w:hAnsi="楷体" w:eastAsia="楷体" w:cs="楷体" w:hint="eastAsia"/>
          <w:kern w:val="0"/>
          <w:sz w:val="32"/>
          <w:szCs w:val="32"/>
        </w:rPr>
      </w:pPr>
      <w:r>
        <w:rPr>
          <w:rFonts w:ascii="楷体" w:hAnsi="楷体" w:cs="楷体" w:hint="eastAsia" w:eastAsia="楷体"/>
          <w:kern w:val="0"/>
          <w:sz w:val="32"/>
          <w:szCs w:val="24"/>
        </w:rPr>
        <w:t>（</w:t>
      </w:r>
      <w:r>
        <w:rPr>
          <w:rFonts w:eastAsia="楷体" w:cs="楷体" w:hint="eastAsia" w:ascii="楷体" w:hAnsi="楷体"/>
          <w:kern w:val="0"/>
          <w:sz w:val="32"/>
          <w:szCs w:val="24"/>
        </w:rPr>
        <w:t>2021</w:t>
      </w:r>
      <w:r>
        <w:rPr>
          <w:rFonts w:ascii="楷体" w:hAnsi="楷体" w:cs="楷体" w:hint="eastAsia" w:eastAsia="楷体"/>
          <w:kern w:val="0"/>
          <w:sz w:val="32"/>
          <w:szCs w:val="24"/>
        </w:rPr>
        <w:t>年</w:t>
      </w:r>
      <w:r>
        <w:rPr>
          <w:rFonts w:eastAsia="楷体" w:cs="楷体" w:hint="eastAsia" w:ascii="楷体" w:hAnsi="楷体"/>
          <w:kern w:val="0"/>
          <w:sz w:val="32"/>
          <w:szCs w:val="24"/>
        </w:rPr>
        <w:t>5</w:t>
      </w:r>
      <w:r>
        <w:rPr>
          <w:rFonts w:ascii="楷体" w:hAnsi="楷体" w:cs="楷体" w:hint="eastAsia" w:eastAsia="楷体"/>
          <w:kern w:val="0"/>
          <w:sz w:val="32"/>
          <w:szCs w:val="24"/>
        </w:rPr>
        <w:t>月</w:t>
      </w:r>
      <w:r>
        <w:rPr>
          <w:rFonts w:eastAsia="楷体" w:cs="楷体" w:hint="eastAsia" w:ascii="楷体" w:hAnsi="楷体"/>
          <w:kern w:val="0"/>
          <w:sz w:val="32"/>
          <w:szCs w:val="24"/>
        </w:rPr>
        <w:t>27</w:t>
      </w:r>
      <w:r>
        <w:rPr>
          <w:rFonts w:ascii="楷体" w:hAnsi="楷体" w:cs="楷体" w:hint="eastAsia" w:eastAsia="楷体"/>
          <w:kern w:val="0"/>
          <w:sz w:val="32"/>
          <w:szCs w:val="24"/>
        </w:rPr>
        <w:t>日辽宁省第十三届人民代表大会常务委员会第二十六次会议通过）</w:t>
      </w:r>
    </w:p>
    <w:p>
      <w:pPr>
        <w:pStyle w:val="NewNew"/>
        <w:keepNext w:val="false"/>
        <w:keepLines w:val="false"/>
        <w:pageBreakBefore w:val="false"/>
        <w:kinsoku w:val="true"/>
        <w:overflowPunct w:val="true"/>
        <w:autoSpaceDE w:val="true"/>
        <w:bidi w:val="0"/>
        <w:spacing w:lineRule="exact" w:line="578"/>
        <w:ind w:firstLineChars="0" w:firstLine="0" w:startChars="200" w:endChars="200"/>
        <w:textAlignment w:val="auto"/>
        <w:rPr>
          <w:rFonts w:ascii="宋体" w:hAnsi="宋体" w:eastAsia="楷体" w:cs="宋体" w:hint="eastAsia"/>
          <w:bCs/>
          <w:color w:val="000000"/>
          <w:kern w:val="0"/>
          <w:sz w:val="32"/>
          <w:szCs w:val="32"/>
        </w:rPr>
      </w:pPr>
      <w:r>
        <w:rPr>
          <w:rFonts w:eastAsia="楷体" w:cs="宋体" w:hint="eastAsia" w:ascii="宋体" w:hAnsi="宋体"/>
          <w:bCs/>
          <w:color w:val="000000"/>
          <w:kern w:val="0"/>
          <w:sz w:val="32"/>
          <w:szCs w:val="32"/>
        </w:rPr>
      </w:r>
    </w:p>
    <w:p>
      <w:pPr>
        <w:pStyle w:val="NormalNew"/>
        <w:keepNext w:val="false"/>
        <w:keepLines w:val="false"/>
        <w:pageBreakBefore w:val="false"/>
        <w:widowControl w:val="false"/>
        <w:kinsoku w:val="true"/>
        <w:overflowPunct w:val="true"/>
        <w:autoSpaceDE w:val="true"/>
        <w:bidi w:val="0"/>
        <w:snapToGrid w:val="true"/>
        <w:spacing w:lineRule="exact" w:line="578" w:before="0" w:after="0"/>
        <w:ind w:firstLineChars="0" w:firstLine="0" w:startChars="0" w:start="0" w:endChars="0" w:end="0"/>
        <w:jc w:val="center"/>
        <w:textAlignment w:val="auto"/>
        <w:rPr>
          <w:rFonts w:ascii="黑体" w:hAnsi="黑体" w:eastAsia="黑体" w:cs="黑体" w:hint="eastAsia"/>
          <w:kern w:val="0"/>
          <w:sz w:val="32"/>
        </w:rPr>
      </w:pPr>
      <w:r>
        <w:rPr>
          <w:rFonts w:ascii="黑体" w:hAnsi="黑体" w:cs="黑体" w:hint="eastAsia" w:eastAsia="黑体"/>
          <w:kern w:val="0"/>
          <w:sz w:val="32"/>
        </w:rPr>
        <w:t>第一章  总    则</w:t>
      </w:r>
    </w:p>
    <w:p>
      <w:pPr>
        <w:pStyle w:val="NormalNew"/>
        <w:keepNext w:val="false"/>
        <w:keepLines w:val="false"/>
        <w:pageBreakBefore w:val="false"/>
        <w:widowControl w:val="false"/>
        <w:kinsoku w:val="true"/>
        <w:overflowPunct w:val="true"/>
        <w:autoSpaceDE w:val="true"/>
        <w:bidi w:val="0"/>
        <w:snapToGrid w:val="true"/>
        <w:spacing w:lineRule="exact" w:line="578" w:before="0" w:after="0"/>
        <w:ind w:firstLineChars="0" w:firstLine="0" w:startChars="0" w:start="0" w:endChars="0" w:end="0"/>
        <w:textAlignment w:val="auto"/>
        <w:rPr>
          <w:rFonts w:ascii="仿宋" w:hAnsi="仿宋" w:eastAsia="仿宋" w:cs="仿宋" w:hint="eastAsia"/>
          <w:kern w:val="0"/>
          <w:sz w:val="32"/>
          <w:szCs w:val="22"/>
        </w:rPr>
      </w:pPr>
      <w:r>
        <w:rPr>
          <w:rFonts w:eastAsia="仿宋" w:cs="仿宋" w:hint="eastAsia" w:ascii="仿宋" w:hAnsi="仿宋"/>
          <w:kern w:val="0"/>
          <w:sz w:val="32"/>
          <w:szCs w:val="22"/>
        </w:rPr>
      </w:r>
    </w:p>
    <w:p>
      <w:pPr>
        <w:pStyle w:val="Normal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kern w:val="0"/>
          <w:sz w:val="32"/>
          <w:szCs w:val="22"/>
        </w:rPr>
      </w:pPr>
      <w:r>
        <w:rPr>
          <w:rFonts w:ascii="黑体" w:hAnsi="黑体" w:cs="黑体" w:hint="eastAsia" w:eastAsia="黑体"/>
          <w:kern w:val="0"/>
          <w:sz w:val="32"/>
          <w:szCs w:val="22"/>
        </w:rPr>
        <w:t xml:space="preserve">第一条  </w:t>
      </w:r>
      <w:r>
        <w:rPr>
          <w:rFonts w:ascii="仿宋" w:hAnsi="仿宋" w:cs="仿宋" w:hint="eastAsia" w:eastAsia="仿宋"/>
          <w:kern w:val="0"/>
          <w:sz w:val="32"/>
          <w:szCs w:val="22"/>
        </w:rPr>
        <w:t>为了加强水利工程管理，保障水利工程安全与正常运行，发挥水利工程功能和效益，促进生态文明建设，根据《中华人民共和国水法》等法律法规，结合本省实际，制定本条例。</w:t>
      </w:r>
    </w:p>
    <w:p>
      <w:pPr>
        <w:pStyle w:val="Normal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kern w:val="0"/>
          <w:sz w:val="32"/>
          <w:szCs w:val="22"/>
        </w:rPr>
      </w:pPr>
      <w:r>
        <w:rPr>
          <w:rFonts w:ascii="黑体" w:hAnsi="黑体" w:cs="黑体" w:hint="eastAsia" w:eastAsia="黑体"/>
          <w:kern w:val="0"/>
          <w:sz w:val="32"/>
          <w:szCs w:val="22"/>
        </w:rPr>
        <w:t xml:space="preserve">第二条  </w:t>
      </w:r>
      <w:r>
        <w:rPr>
          <w:rFonts w:ascii="仿宋" w:hAnsi="仿宋" w:cs="仿宋" w:hint="eastAsia" w:eastAsia="仿宋"/>
          <w:kern w:val="0"/>
          <w:sz w:val="32"/>
          <w:szCs w:val="22"/>
        </w:rPr>
        <w:t>本省行政区域内水利工程的建设、运行、管理和保护，适用本条例。</w:t>
      </w:r>
    </w:p>
    <w:p>
      <w:pPr>
        <w:pStyle w:val="Normal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kern w:val="0"/>
          <w:sz w:val="32"/>
          <w:szCs w:val="22"/>
        </w:rPr>
      </w:pPr>
      <w:r>
        <w:rPr>
          <w:rFonts w:ascii="仿宋" w:hAnsi="仿宋" w:cs="仿宋" w:hint="eastAsia" w:eastAsia="仿宋"/>
          <w:kern w:val="0"/>
          <w:sz w:val="32"/>
          <w:szCs w:val="22"/>
        </w:rPr>
        <w:t>本条例所称水利工程，是指水库（水电站）、堤防、输水管道（隧洞）、灌溉排水渠道、水闸、泵站、渡槽、塘坝等工程及其附属设施。</w:t>
      </w:r>
    </w:p>
    <w:p>
      <w:pPr>
        <w:pStyle w:val="Normal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kern w:val="0"/>
          <w:sz w:val="32"/>
          <w:szCs w:val="32"/>
        </w:rPr>
      </w:pPr>
      <w:r>
        <w:rPr>
          <w:rFonts w:ascii="仿宋" w:hAnsi="仿宋" w:cs="仿宋" w:hint="eastAsia" w:eastAsia="仿宋"/>
          <w:kern w:val="0"/>
          <w:sz w:val="32"/>
          <w:szCs w:val="32"/>
        </w:rPr>
        <w:t>城乡供水、水文、水土保持和航道等工程的建设、管理以及农田建设管理，依照有关法律法规执行。</w:t>
      </w:r>
    </w:p>
    <w:p>
      <w:pPr>
        <w:pStyle w:val="Normal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kern w:val="0"/>
          <w:sz w:val="32"/>
          <w:szCs w:val="22"/>
        </w:rPr>
      </w:pPr>
      <w:r>
        <w:rPr>
          <w:rFonts w:ascii="黑体" w:hAnsi="黑体" w:cs="黑体" w:hint="eastAsia" w:eastAsia="黑体"/>
          <w:kern w:val="0"/>
          <w:sz w:val="32"/>
          <w:szCs w:val="22"/>
        </w:rPr>
        <w:t xml:space="preserve">第三条  </w:t>
      </w:r>
      <w:r>
        <w:rPr>
          <w:rFonts w:ascii="仿宋" w:hAnsi="仿宋" w:cs="仿宋" w:hint="eastAsia" w:eastAsia="仿宋"/>
          <w:kern w:val="0"/>
          <w:sz w:val="32"/>
          <w:szCs w:val="22"/>
        </w:rPr>
        <w:t>省、市、县（含县级市、区，下同）人民政府应当加强对水利工程建设、运行、管理和保护工作的领导，将水利工程管理纳入国民经济和社会发展规划，建立以公共财政为主的投入机制，加大对水利工程管理的投入。</w:t>
      </w:r>
    </w:p>
    <w:p>
      <w:pPr>
        <w:pStyle w:val="Normal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kern w:val="0"/>
          <w:sz w:val="32"/>
          <w:szCs w:val="22"/>
        </w:rPr>
      </w:pPr>
      <w:r>
        <w:rPr>
          <w:rFonts w:ascii="黑体" w:hAnsi="黑体" w:cs="黑体" w:hint="eastAsia" w:eastAsia="黑体"/>
          <w:kern w:val="0"/>
          <w:sz w:val="32"/>
          <w:szCs w:val="22"/>
        </w:rPr>
        <w:t xml:space="preserve">第四条  </w:t>
      </w:r>
      <w:r>
        <w:rPr>
          <w:rFonts w:ascii="仿宋" w:hAnsi="仿宋" w:cs="仿宋" w:hint="eastAsia" w:eastAsia="仿宋"/>
          <w:kern w:val="0"/>
          <w:sz w:val="32"/>
          <w:szCs w:val="22"/>
        </w:rPr>
        <w:t>省、市、县人民政府水行政主管部门（以下统称水行政主管部门）按照管理权限，负责本行政区域内水利工程的监督管理工作。</w:t>
      </w:r>
    </w:p>
    <w:p>
      <w:pPr>
        <w:pStyle w:val="Normal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kern w:val="0"/>
          <w:sz w:val="32"/>
          <w:szCs w:val="22"/>
        </w:rPr>
      </w:pPr>
      <w:r>
        <w:rPr>
          <w:rFonts w:ascii="仿宋" w:hAnsi="仿宋" w:cs="仿宋" w:hint="eastAsia" w:eastAsia="仿宋"/>
          <w:kern w:val="0"/>
          <w:sz w:val="32"/>
          <w:szCs w:val="22"/>
        </w:rPr>
        <w:t>发展改革、财政、工业和信息化、自然资源、农业农村、生态环境、交通运输、住房城乡建设等部门按照各自职责，做好水利工程管理的相关工作。</w:t>
      </w:r>
    </w:p>
    <w:p>
      <w:pPr>
        <w:pStyle w:val="NormalNew"/>
        <w:keepNext w:val="false"/>
        <w:keepLines w:val="false"/>
        <w:pageBreakBefore w:val="false"/>
        <w:kinsoku w:val="true"/>
        <w:overflowPunct w:val="true"/>
        <w:autoSpaceDE w:val="true"/>
        <w:bidi w:val="0"/>
        <w:spacing w:lineRule="exact" w:line="578"/>
        <w:ind w:firstLineChars="200" w:startChars="0" w:start="0" w:endChars="0" w:end="0"/>
        <w:textAlignment w:val="auto"/>
        <w:rPr>
          <w:rFonts w:ascii="仿宋" w:hAnsi="仿宋" w:eastAsia="仿宋" w:cs="仿宋" w:hint="eastAsia"/>
          <w:bCs/>
          <w:kern w:val="0"/>
          <w:sz w:val="32"/>
          <w:szCs w:val="32"/>
        </w:rPr>
      </w:pPr>
      <w:r>
        <w:rPr>
          <w:rFonts w:ascii="黑体" w:hAnsi="黑体" w:cs="黑体" w:hint="eastAsia" w:eastAsia="黑体"/>
          <w:bCs/>
          <w:color w:val="000000"/>
          <w:kern w:val="0"/>
          <w:sz w:val="32"/>
          <w:szCs w:val="32"/>
        </w:rPr>
        <w:t xml:space="preserve">第五条  </w:t>
      </w:r>
      <w:r>
        <w:rPr>
          <w:rFonts w:ascii="仿宋" w:hAnsi="仿宋" w:cs="仿宋" w:hint="eastAsia" w:eastAsia="仿宋"/>
          <w:bCs/>
          <w:kern w:val="0"/>
          <w:sz w:val="32"/>
          <w:szCs w:val="32"/>
        </w:rPr>
        <w:t>省、市、县人民政府应当鼓励、支持水利工程管理信息化建设，提升水利工程管理信息化水平。</w:t>
      </w:r>
    </w:p>
    <w:p>
      <w:pPr>
        <w:pStyle w:val="NormalNew"/>
        <w:keepNext w:val="false"/>
        <w:keepLines w:val="false"/>
        <w:pageBreakBefore w:val="false"/>
        <w:kinsoku w:val="true"/>
        <w:overflowPunct w:val="true"/>
        <w:autoSpaceDE w:val="true"/>
        <w:bidi w:val="0"/>
        <w:spacing w:lineRule="exact" w:line="578"/>
        <w:ind w:firstLine="640" w:end="0"/>
        <w:textAlignment w:val="auto"/>
        <w:rPr>
          <w:rFonts w:ascii="仿宋" w:hAnsi="仿宋" w:eastAsia="仿宋" w:cs="仿宋" w:hint="eastAsia"/>
          <w:color w:val="000000"/>
          <w:kern w:val="0"/>
          <w:sz w:val="32"/>
          <w:szCs w:val="22"/>
        </w:rPr>
      </w:pPr>
      <w:r>
        <w:rPr>
          <w:rFonts w:ascii="仿宋" w:hAnsi="仿宋" w:cs="仿宋" w:hint="eastAsia" w:eastAsia="仿宋"/>
          <w:bCs/>
          <w:kern w:val="0"/>
          <w:sz w:val="32"/>
          <w:szCs w:val="32"/>
        </w:rPr>
        <w:t>省级水行政主管部门应当建立水利工程信息化管理平台，实现水利工程</w:t>
      </w:r>
      <w:r>
        <w:rPr>
          <w:rFonts w:ascii="仿宋" w:hAnsi="仿宋" w:cs="仿宋" w:hint="eastAsia" w:eastAsia="仿宋"/>
          <w:bCs/>
          <w:color w:val="000000"/>
          <w:kern w:val="0"/>
          <w:sz w:val="32"/>
          <w:szCs w:val="32"/>
        </w:rPr>
        <w:t>数据</w:t>
      </w:r>
      <w:r>
        <w:rPr>
          <w:rFonts w:ascii="仿宋" w:hAnsi="仿宋" w:cs="仿宋" w:hint="eastAsia" w:eastAsia="仿宋"/>
          <w:bCs/>
          <w:kern w:val="0"/>
          <w:sz w:val="32"/>
          <w:szCs w:val="32"/>
        </w:rPr>
        <w:t>的采集、传输、存储、处理、共享等动态管理。</w:t>
      </w:r>
    </w:p>
    <w:p>
      <w:pPr>
        <w:pStyle w:val="NormalNew"/>
        <w:keepNext w:val="false"/>
        <w:keepLines w:val="false"/>
        <w:pageBreakBefore w:val="false"/>
        <w:widowControl w:val="false"/>
        <w:numPr>
          <w:ilvl w:val="0"/>
          <w:numId w:val="0"/>
        </w:numPr>
        <w:kinsoku w:val="true"/>
        <w:overflowPunct w:val="true"/>
        <w:autoSpaceDE w:val="true"/>
        <w:bidi w:val="0"/>
        <w:snapToGrid w:val="true"/>
        <w:spacing w:lineRule="exact" w:line="578" w:before="0" w:after="0"/>
        <w:ind w:firstLineChars="200" w:startChars="0" w:start="0" w:endChars="0" w:end="0"/>
        <w:textAlignment w:val="auto"/>
        <w:rPr>
          <w:rFonts w:ascii="仿宋" w:hAnsi="仿宋" w:eastAsia="仿宋" w:cs="仿宋" w:hint="eastAsia"/>
          <w:kern w:val="0"/>
          <w:sz w:val="32"/>
          <w:szCs w:val="22"/>
        </w:rPr>
      </w:pPr>
      <w:r>
        <w:rPr>
          <w:rFonts w:ascii="黑体" w:hAnsi="黑体" w:cs="黑体" w:hint="eastAsia" w:eastAsia="黑体"/>
          <w:kern w:val="0"/>
          <w:sz w:val="32"/>
          <w:szCs w:val="22"/>
        </w:rPr>
        <w:t>第六条</w:t>
      </w:r>
      <w:r>
        <w:rPr>
          <w:rFonts w:ascii="仿宋" w:hAnsi="仿宋" w:cs="仿宋" w:hint="eastAsia" w:eastAsia="仿宋"/>
          <w:kern w:val="0"/>
          <w:sz w:val="32"/>
          <w:szCs w:val="22"/>
        </w:rPr>
        <w:t xml:space="preserve">  任何单位和个人都有保护水利工程的义务，有权制止和举报破坏水利工程的行为。</w:t>
      </w:r>
      <w:r>
        <w:rPr>
          <w:rFonts w:ascii="仿宋" w:hAnsi="仿宋" w:cs="仿宋" w:hint="eastAsia" w:eastAsia="仿宋"/>
          <w:color w:val="000000"/>
          <w:kern w:val="0"/>
          <w:sz w:val="32"/>
          <w:szCs w:val="22"/>
        </w:rPr>
        <w:t>水行政主管部门</w:t>
      </w:r>
      <w:r>
        <w:rPr>
          <w:rFonts w:ascii="仿宋" w:hAnsi="仿宋" w:cs="仿宋" w:hint="eastAsia" w:eastAsia="仿宋"/>
          <w:kern w:val="0"/>
          <w:sz w:val="32"/>
          <w:szCs w:val="22"/>
        </w:rPr>
        <w:t>等接到举报后，应当及时依法调查处理并将处理结果告知举报人。受理举报的部门应当对举报人的信息予以保密。</w:t>
      </w:r>
    </w:p>
    <w:p>
      <w:pPr>
        <w:pStyle w:val="NormalNew"/>
        <w:keepNext w:val="false"/>
        <w:keepLines w:val="false"/>
        <w:pageBreakBefore w:val="false"/>
        <w:widowControl w:val="false"/>
        <w:numPr>
          <w:ilvl w:val="0"/>
          <w:numId w:val="0"/>
        </w:numPr>
        <w:kinsoku w:val="true"/>
        <w:overflowPunct w:val="true"/>
        <w:autoSpaceDE w:val="true"/>
        <w:bidi w:val="0"/>
        <w:snapToGrid w:val="true"/>
        <w:spacing w:lineRule="exact" w:line="578" w:before="0" w:after="0"/>
        <w:ind w:firstLineChars="0" w:firstLine="0" w:startChars="198" w:endChars="0" w:end="0"/>
        <w:textAlignment w:val="auto"/>
        <w:rPr>
          <w:rFonts w:ascii="仿宋" w:hAnsi="仿宋" w:eastAsia="仿宋" w:cs="仿宋" w:hint="eastAsia"/>
          <w:kern w:val="0"/>
          <w:sz w:val="32"/>
          <w:szCs w:val="22"/>
        </w:rPr>
      </w:pPr>
      <w:r>
        <w:rPr>
          <w:rFonts w:eastAsia="仿宋" w:cs="仿宋" w:hint="eastAsia" w:ascii="仿宋" w:hAnsi="仿宋"/>
          <w:kern w:val="0"/>
          <w:sz w:val="32"/>
          <w:szCs w:val="22"/>
        </w:rPr>
      </w:r>
    </w:p>
    <w:p>
      <w:pPr>
        <w:pStyle w:val="NormalNew"/>
        <w:keepNext w:val="false"/>
        <w:keepLines w:val="false"/>
        <w:pageBreakBefore w:val="false"/>
        <w:widowControl w:val="false"/>
        <w:kinsoku w:val="true"/>
        <w:overflowPunct w:val="true"/>
        <w:autoSpaceDE w:val="true"/>
        <w:bidi w:val="0"/>
        <w:snapToGrid w:val="true"/>
        <w:spacing w:lineRule="exact" w:line="578" w:before="0" w:after="0"/>
        <w:ind w:firstLineChars="0" w:firstLine="0" w:startChars="0" w:start="0" w:endChars="0" w:end="0"/>
        <w:jc w:val="center"/>
        <w:textAlignment w:val="auto"/>
        <w:rPr>
          <w:rFonts w:ascii="黑体" w:hAnsi="黑体" w:eastAsia="黑体" w:cs="黑体" w:hint="eastAsia"/>
          <w:kern w:val="0"/>
          <w:sz w:val="32"/>
          <w:szCs w:val="22"/>
        </w:rPr>
      </w:pPr>
      <w:r>
        <w:rPr>
          <w:rFonts w:ascii="黑体" w:hAnsi="黑体" w:cs="黑体" w:hint="eastAsia" w:eastAsia="黑体"/>
          <w:kern w:val="0"/>
          <w:sz w:val="32"/>
          <w:szCs w:val="22"/>
        </w:rPr>
        <w:t>第二章  工程建设</w:t>
      </w:r>
    </w:p>
    <w:p>
      <w:pPr>
        <w:pStyle w:val="Normal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黑体" w:hAnsi="黑体" w:eastAsia="黑体" w:cs="黑体" w:hint="eastAsia"/>
          <w:kern w:val="0"/>
          <w:sz w:val="32"/>
          <w:szCs w:val="22"/>
        </w:rPr>
      </w:pPr>
      <w:r>
        <w:rPr>
          <w:rFonts w:eastAsia="黑体" w:cs="黑体" w:hint="eastAsia" w:ascii="黑体" w:hAnsi="黑体"/>
          <w:kern w:val="0"/>
          <w:sz w:val="32"/>
          <w:szCs w:val="22"/>
        </w:rPr>
      </w:r>
    </w:p>
    <w:p>
      <w:pPr>
        <w:pStyle w:val="Normal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kern w:val="0"/>
          <w:sz w:val="32"/>
          <w:szCs w:val="22"/>
        </w:rPr>
      </w:pPr>
      <w:r>
        <w:rPr>
          <w:rFonts w:ascii="黑体" w:hAnsi="黑体" w:cs="黑体" w:hint="eastAsia" w:eastAsia="黑体"/>
          <w:kern w:val="0"/>
          <w:sz w:val="32"/>
          <w:szCs w:val="22"/>
        </w:rPr>
        <w:t xml:space="preserve">第七条  </w:t>
      </w:r>
      <w:r>
        <w:rPr>
          <w:rFonts w:ascii="仿宋" w:hAnsi="仿宋" w:cs="仿宋" w:hint="eastAsia" w:eastAsia="仿宋"/>
          <w:kern w:val="0"/>
          <w:sz w:val="32"/>
          <w:szCs w:val="22"/>
        </w:rPr>
        <w:t>水利工程建设应当符合国土空间规划、流域综合规划和生态保护规划，与防洪、水资源保护、河道整治、水土保持等专业规划相衔接。</w:t>
      </w:r>
    </w:p>
    <w:p>
      <w:pPr>
        <w:pStyle w:val="Normal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kern w:val="0"/>
          <w:sz w:val="32"/>
          <w:szCs w:val="22"/>
        </w:rPr>
      </w:pPr>
      <w:r>
        <w:rPr>
          <w:rFonts w:ascii="黑体" w:hAnsi="黑体" w:cs="黑体" w:hint="eastAsia" w:eastAsia="黑体"/>
          <w:kern w:val="0"/>
          <w:sz w:val="32"/>
          <w:szCs w:val="22"/>
        </w:rPr>
        <w:t xml:space="preserve">第八条  </w:t>
      </w:r>
      <w:r>
        <w:rPr>
          <w:rFonts w:ascii="仿宋" w:hAnsi="仿宋" w:cs="仿宋" w:hint="eastAsia" w:eastAsia="仿宋"/>
          <w:kern w:val="0"/>
          <w:sz w:val="32"/>
          <w:szCs w:val="22"/>
        </w:rPr>
        <w:t>政府投资的水利工程建设项目所需资金应当按照国家有关规定拨付，不得由施工单位垫资建设。</w:t>
      </w:r>
    </w:p>
    <w:p>
      <w:pPr>
        <w:pStyle w:val="Normal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color w:val="C00000"/>
          <w:kern w:val="0"/>
          <w:sz w:val="32"/>
          <w:szCs w:val="22"/>
        </w:rPr>
      </w:pPr>
      <w:r>
        <w:rPr>
          <w:rFonts w:ascii="黑体" w:hAnsi="黑体" w:cs="黑体" w:hint="eastAsia" w:eastAsia="黑体"/>
          <w:color w:val="000000"/>
          <w:kern w:val="0"/>
          <w:sz w:val="32"/>
          <w:szCs w:val="22"/>
        </w:rPr>
        <w:t>第九条</w:t>
      </w:r>
      <w:r>
        <w:rPr>
          <w:rFonts w:ascii="黑体" w:hAnsi="黑体" w:cs="黑体" w:hint="eastAsia" w:eastAsia="黑体"/>
          <w:kern w:val="0"/>
          <w:sz w:val="32"/>
          <w:szCs w:val="22"/>
        </w:rPr>
        <w:t xml:space="preserve">  </w:t>
      </w:r>
      <w:r>
        <w:rPr>
          <w:rFonts w:ascii="仿宋" w:hAnsi="仿宋" w:cs="仿宋" w:hint="eastAsia" w:eastAsia="仿宋"/>
          <w:kern w:val="0"/>
          <w:sz w:val="32"/>
          <w:szCs w:val="22"/>
        </w:rPr>
        <w:t>水利工程建设项目应当依法实行</w:t>
      </w:r>
      <w:r>
        <w:rPr>
          <w:rFonts w:ascii="仿宋" w:hAnsi="仿宋" w:cs="仿宋" w:hint="eastAsia" w:eastAsia="仿宋"/>
          <w:color w:val="000000"/>
          <w:kern w:val="0"/>
          <w:sz w:val="32"/>
          <w:szCs w:val="22"/>
        </w:rPr>
        <w:t>项目法人责任制、招标投标制、建设监理制。</w:t>
      </w:r>
    </w:p>
    <w:p>
      <w:pPr>
        <w:pStyle w:val="Normal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kern w:val="0"/>
          <w:sz w:val="32"/>
          <w:szCs w:val="22"/>
        </w:rPr>
      </w:pPr>
      <w:r>
        <w:rPr>
          <w:rFonts w:ascii="仿宋" w:hAnsi="仿宋" w:cs="仿宋" w:hint="eastAsia" w:eastAsia="仿宋"/>
          <w:kern w:val="0"/>
          <w:sz w:val="32"/>
          <w:szCs w:val="22"/>
        </w:rPr>
        <w:t xml:space="preserve">项目法人应当依法对工程建设项目的勘察、设计、施工、监理以及与工程建设有关的重要设备、材料等的采购进行招标。 </w:t>
      </w:r>
    </w:p>
    <w:p>
      <w:pPr>
        <w:pStyle w:val="Normal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kern w:val="0"/>
          <w:sz w:val="32"/>
          <w:szCs w:val="22"/>
        </w:rPr>
      </w:pPr>
      <w:r>
        <w:rPr>
          <w:rFonts w:ascii="仿宋" w:hAnsi="仿宋" w:cs="仿宋" w:hint="eastAsia" w:eastAsia="仿宋"/>
          <w:kern w:val="0"/>
          <w:sz w:val="32"/>
          <w:szCs w:val="22"/>
        </w:rPr>
        <w:t>从事水利工程建设项目勘察、设计、施工、监理的单位应当具备相应的资质等级。</w:t>
      </w:r>
    </w:p>
    <w:p>
      <w:pPr>
        <w:pStyle w:val="Normal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kern w:val="0"/>
          <w:sz w:val="32"/>
          <w:szCs w:val="22"/>
        </w:rPr>
      </w:pPr>
      <w:r>
        <w:rPr>
          <w:rFonts w:ascii="黑体" w:hAnsi="黑体" w:cs="黑体" w:hint="eastAsia" w:eastAsia="黑体"/>
          <w:kern w:val="0"/>
          <w:sz w:val="32"/>
          <w:szCs w:val="22"/>
        </w:rPr>
        <w:t xml:space="preserve">第十条  </w:t>
      </w:r>
      <w:r>
        <w:rPr>
          <w:rFonts w:ascii="仿宋" w:hAnsi="仿宋" w:cs="仿宋" w:hint="eastAsia" w:eastAsia="仿宋"/>
          <w:kern w:val="0"/>
          <w:sz w:val="32"/>
          <w:szCs w:val="22"/>
        </w:rPr>
        <w:t>水利工程建设应当按照国家有关规定，合理确定工期并严格执行。对违法干涉建设工期的行为，建设、施工单位有权拒绝。</w:t>
      </w:r>
    </w:p>
    <w:p>
      <w:pPr>
        <w:pStyle w:val="Normal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color w:val="000000"/>
          <w:kern w:val="0"/>
          <w:sz w:val="32"/>
          <w:szCs w:val="22"/>
        </w:rPr>
      </w:pPr>
      <w:r>
        <w:rPr>
          <w:rFonts w:ascii="黑体" w:hAnsi="黑体" w:cs="黑体" w:hint="eastAsia" w:eastAsia="黑体"/>
          <w:color w:val="000000"/>
          <w:kern w:val="0"/>
          <w:sz w:val="32"/>
          <w:szCs w:val="22"/>
        </w:rPr>
        <w:t>第十一条  </w:t>
      </w:r>
      <w:r>
        <w:rPr>
          <w:rFonts w:ascii="仿宋" w:hAnsi="仿宋" w:cs="仿宋" w:hint="eastAsia" w:eastAsia="仿宋"/>
          <w:color w:val="000000"/>
          <w:kern w:val="0"/>
          <w:sz w:val="32"/>
          <w:szCs w:val="22"/>
        </w:rPr>
        <w:t>水利工程施工单位应当按照工程设计图纸和施工技术标准等进行施工，不得擅自修改工程设计，不得偷工减料、以次充好。</w:t>
      </w:r>
    </w:p>
    <w:p>
      <w:pPr>
        <w:pStyle w:val="Normal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kern w:val="0"/>
          <w:sz w:val="32"/>
          <w:szCs w:val="22"/>
        </w:rPr>
      </w:pPr>
      <w:r>
        <w:rPr>
          <w:rFonts w:ascii="黑体" w:hAnsi="黑体" w:cs="黑体" w:hint="eastAsia" w:eastAsia="黑体"/>
          <w:kern w:val="0"/>
          <w:sz w:val="32"/>
          <w:szCs w:val="22"/>
        </w:rPr>
        <w:t xml:space="preserve">第十二条  </w:t>
      </w:r>
      <w:r>
        <w:rPr>
          <w:rFonts w:ascii="仿宋" w:hAnsi="仿宋" w:cs="仿宋" w:hint="eastAsia" w:eastAsia="仿宋"/>
          <w:kern w:val="0"/>
          <w:sz w:val="32"/>
          <w:szCs w:val="22"/>
        </w:rPr>
        <w:t>水利工程项目法人以及与水利工程建设安全生产有关的单位，应当遵守安全生产法律、法规，保证水利工程建设生产安全，依法承担水利工程建设安全生产责任。</w:t>
      </w:r>
    </w:p>
    <w:p>
      <w:pPr>
        <w:pStyle w:val="Normal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kern w:val="0"/>
          <w:sz w:val="32"/>
          <w:szCs w:val="22"/>
        </w:rPr>
      </w:pPr>
      <w:r>
        <w:rPr>
          <w:rFonts w:ascii="黑体" w:hAnsi="黑体" w:cs="黑体" w:hint="eastAsia" w:eastAsia="黑体"/>
          <w:kern w:val="0"/>
          <w:sz w:val="32"/>
          <w:szCs w:val="22"/>
        </w:rPr>
        <w:t xml:space="preserve">第十三条  </w:t>
      </w:r>
      <w:r>
        <w:rPr>
          <w:rFonts w:ascii="仿宋" w:hAnsi="仿宋" w:cs="仿宋" w:hint="eastAsia" w:eastAsia="仿宋"/>
          <w:kern w:val="0"/>
          <w:sz w:val="32"/>
          <w:szCs w:val="22"/>
        </w:rPr>
        <w:t>水利工程应当按照国家和省关于水利工程验收的规定进行验收。未经验收或者验收不合格的，不得交付使用或者进行后续工程施工。</w:t>
      </w:r>
    </w:p>
    <w:p>
      <w:pPr>
        <w:pStyle w:val="NormalNew"/>
        <w:keepNext w:val="false"/>
        <w:keepLines w:val="false"/>
        <w:pageBreakBefore w:val="false"/>
        <w:kinsoku w:val="true"/>
        <w:overflowPunct w:val="true"/>
        <w:autoSpaceDE w:val="true"/>
        <w:bidi w:val="0"/>
        <w:spacing w:lineRule="exact" w:line="578"/>
        <w:ind w:firstLineChars="198" w:startChars="0" w:start="0" w:endChars="0" w:end="0"/>
        <w:textAlignment w:val="auto"/>
        <w:rPr>
          <w:rFonts w:ascii="仿宋" w:hAnsi="仿宋" w:eastAsia="仿宋" w:cs="仿宋" w:hint="eastAsia"/>
          <w:color w:val="000000"/>
          <w:kern w:val="0"/>
          <w:sz w:val="32"/>
          <w:szCs w:val="22"/>
        </w:rPr>
      </w:pPr>
      <w:r>
        <w:rPr>
          <w:rFonts w:ascii="仿宋" w:hAnsi="仿宋" w:cs="仿宋" w:hint="eastAsia" w:eastAsia="仿宋"/>
          <w:color w:val="000000"/>
          <w:kern w:val="0"/>
          <w:sz w:val="32"/>
          <w:szCs w:val="22"/>
        </w:rPr>
        <w:t>参与水利工程建设的勘察、设计、施工、监理等单位，应当及时提供工程验收所需资料。</w:t>
      </w:r>
    </w:p>
    <w:p>
      <w:pPr>
        <w:pStyle w:val="Normal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kern w:val="0"/>
          <w:sz w:val="32"/>
          <w:szCs w:val="22"/>
        </w:rPr>
      </w:pPr>
      <w:r>
        <w:rPr>
          <w:rFonts w:ascii="黑体" w:hAnsi="黑体" w:cs="黑体" w:hint="eastAsia" w:eastAsia="黑体"/>
          <w:kern w:val="0"/>
          <w:sz w:val="32"/>
          <w:szCs w:val="22"/>
        </w:rPr>
        <w:t xml:space="preserve">第十四条  </w:t>
      </w:r>
      <w:r>
        <w:rPr>
          <w:rFonts w:ascii="仿宋" w:hAnsi="仿宋" w:cs="仿宋" w:hint="eastAsia" w:eastAsia="仿宋"/>
          <w:kern w:val="0"/>
          <w:sz w:val="32"/>
          <w:szCs w:val="22"/>
        </w:rPr>
        <w:t>水利工程实行质量保修制度。保修期限按法律法规和合同约定执行。合同约定的水利工程保修期不得低于一年。</w:t>
      </w:r>
    </w:p>
    <w:p>
      <w:pPr>
        <w:pStyle w:val="Normal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kern w:val="0"/>
          <w:sz w:val="32"/>
          <w:szCs w:val="22"/>
        </w:rPr>
      </w:pPr>
      <w:r>
        <w:rPr>
          <w:rFonts w:ascii="仿宋" w:hAnsi="仿宋" w:cs="仿宋" w:hint="eastAsia" w:eastAsia="仿宋"/>
          <w:kern w:val="0"/>
          <w:sz w:val="32"/>
          <w:szCs w:val="22"/>
        </w:rPr>
        <w:t>在保修期内出现工程质量问题，一般由施工单位负责保修，所需费用由责任方承担。</w:t>
      </w:r>
    </w:p>
    <w:p>
      <w:pPr>
        <w:pStyle w:val="Normal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黑体" w:hAnsi="黑体" w:eastAsia="黑体" w:cs="黑体" w:hint="eastAsia"/>
          <w:kern w:val="0"/>
          <w:sz w:val="32"/>
          <w:szCs w:val="22"/>
        </w:rPr>
      </w:pPr>
      <w:r>
        <w:rPr>
          <w:rFonts w:ascii="仿宋" w:hAnsi="仿宋" w:cs="仿宋" w:hint="eastAsia" w:eastAsia="仿宋"/>
          <w:kern w:val="0"/>
          <w:sz w:val="32"/>
          <w:szCs w:val="22"/>
        </w:rPr>
        <w:t>工程质量出现永久性缺陷的，承担责任的期限不受以上保修期限制。</w:t>
      </w:r>
    </w:p>
    <w:p>
      <w:pPr>
        <w:pStyle w:val="NormalNew"/>
        <w:keepNext w:val="false"/>
        <w:keepLines w:val="false"/>
        <w:pageBreakBefore w:val="false"/>
        <w:widowControl w:val="false"/>
        <w:numPr>
          <w:ilvl w:val="0"/>
          <w:numId w:val="0"/>
        </w:numPr>
        <w:kinsoku w:val="true"/>
        <w:overflowPunct w:val="true"/>
        <w:autoSpaceDE w:val="true"/>
        <w:bidi w:val="0"/>
        <w:snapToGrid w:val="true"/>
        <w:spacing w:lineRule="exact" w:line="578" w:before="0" w:after="0"/>
        <w:ind w:firstLineChars="200" w:startChars="0" w:start="0" w:endChars="0" w:end="0"/>
        <w:textAlignment w:val="auto"/>
        <w:rPr>
          <w:rFonts w:ascii="仿宋" w:hAnsi="仿宋" w:eastAsia="仿宋" w:cs="仿宋" w:hint="eastAsia"/>
          <w:kern w:val="0"/>
          <w:sz w:val="32"/>
          <w:szCs w:val="22"/>
        </w:rPr>
      </w:pPr>
      <w:r>
        <w:rPr>
          <w:rFonts w:ascii="黑体" w:hAnsi="黑体" w:cs="黑体" w:hint="eastAsia" w:eastAsia="黑体"/>
          <w:kern w:val="0"/>
          <w:sz w:val="32"/>
          <w:szCs w:val="22"/>
        </w:rPr>
        <w:t xml:space="preserve">第十五条  </w:t>
      </w:r>
      <w:r>
        <w:rPr>
          <w:rFonts w:ascii="仿宋" w:hAnsi="仿宋" w:cs="仿宋" w:hint="eastAsia" w:eastAsia="仿宋"/>
          <w:kern w:val="0"/>
          <w:sz w:val="32"/>
          <w:szCs w:val="22"/>
        </w:rPr>
        <w:t>水利工程建设实行信用管理制度。水行政主管部门应当建立水利工程勘察、设计、施工、监理等市场主体的信用档案，并将其纳入</w:t>
      </w:r>
      <w:r>
        <w:rPr>
          <w:rFonts w:ascii="仿宋" w:hAnsi="仿宋" w:cs="仿宋" w:hint="eastAsia" w:eastAsia="仿宋"/>
          <w:color w:val="000000"/>
          <w:kern w:val="0"/>
          <w:sz w:val="32"/>
          <w:szCs w:val="22"/>
        </w:rPr>
        <w:t>省、市、县公共信用信息共享平台，</w:t>
      </w:r>
      <w:r>
        <w:rPr>
          <w:rFonts w:ascii="仿宋" w:hAnsi="仿宋" w:cs="仿宋" w:hint="eastAsia" w:eastAsia="仿宋"/>
          <w:kern w:val="0"/>
          <w:sz w:val="32"/>
          <w:szCs w:val="22"/>
        </w:rPr>
        <w:t>依法对失信市场主体进行惩戒。</w:t>
      </w:r>
    </w:p>
    <w:p>
      <w:pPr>
        <w:pStyle w:val="Normal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kern w:val="0"/>
          <w:sz w:val="32"/>
          <w:szCs w:val="22"/>
        </w:rPr>
      </w:pPr>
      <w:r>
        <w:rPr>
          <w:rFonts w:ascii="黑体" w:hAnsi="黑体" w:cs="黑体" w:hint="eastAsia" w:eastAsia="黑体"/>
          <w:bCs/>
          <w:color w:val="333333"/>
          <w:kern w:val="0"/>
          <w:sz w:val="32"/>
          <w:szCs w:val="32"/>
        </w:rPr>
        <w:t xml:space="preserve">第十六条  </w:t>
      </w:r>
      <w:r>
        <w:rPr>
          <w:rFonts w:ascii="仿宋" w:hAnsi="仿宋" w:cs="仿宋" w:hint="eastAsia" w:eastAsia="仿宋"/>
          <w:kern w:val="0"/>
          <w:sz w:val="32"/>
          <w:szCs w:val="22"/>
        </w:rPr>
        <w:t>省、市、县水行政主管部门应当建立健全监督检查制度，对水利工程建设、运行、维护以及质量、安全管理等制度的建立和执行情况进行定期监督检查；对水利工程存在安全隐患、安全管理制度不完善或者不落实的，应当责成建设、施工和水利工程管理等单位采取有效措施，消除安全隐患，完善管理制度并确保落实到位。</w:t>
      </w:r>
    </w:p>
    <w:p>
      <w:pPr>
        <w:pStyle w:val="Normal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kern w:val="0"/>
          <w:sz w:val="32"/>
          <w:szCs w:val="22"/>
        </w:rPr>
      </w:pPr>
      <w:r>
        <w:rPr>
          <w:rFonts w:ascii="黑体" w:hAnsi="黑体" w:cs="黑体" w:hint="eastAsia" w:eastAsia="黑体"/>
          <w:kern w:val="0"/>
          <w:sz w:val="32"/>
          <w:szCs w:val="22"/>
        </w:rPr>
        <w:t xml:space="preserve">第十七条  </w:t>
      </w:r>
      <w:r>
        <w:rPr>
          <w:rFonts w:ascii="仿宋" w:hAnsi="仿宋" w:cs="仿宋" w:hint="eastAsia" w:eastAsia="仿宋"/>
          <w:color w:val="000000"/>
          <w:sz w:val="32"/>
          <w:szCs w:val="32"/>
        </w:rPr>
        <w:t>省、市、县人民政府可以通过财政补助、信贷贴息等方式，</w:t>
      </w:r>
      <w:r>
        <w:rPr>
          <w:rFonts w:ascii="仿宋" w:hAnsi="仿宋" w:cs="仿宋" w:hint="eastAsia" w:eastAsia="仿宋"/>
          <w:kern w:val="0"/>
          <w:sz w:val="32"/>
          <w:szCs w:val="22"/>
        </w:rPr>
        <w:t>鼓励和支持社会资本参与水利工程建设运营和管理，积极发展新型水利工程融资模式。引导金融机构支持水利工程建设。鼓励有条件的水利工程采取先建后补、代建制、全过程咨询、工程总承包等建设方式。</w:t>
      </w:r>
    </w:p>
    <w:p>
      <w:pPr>
        <w:pStyle w:val="Normal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kern w:val="0"/>
          <w:sz w:val="32"/>
          <w:szCs w:val="22"/>
        </w:rPr>
      </w:pPr>
      <w:r>
        <w:rPr>
          <w:rFonts w:eastAsia="仿宋" w:cs="仿宋" w:hint="eastAsia" w:ascii="仿宋" w:hAnsi="仿宋"/>
          <w:kern w:val="0"/>
          <w:sz w:val="32"/>
          <w:szCs w:val="22"/>
        </w:rPr>
      </w:r>
    </w:p>
    <w:p>
      <w:pPr>
        <w:pStyle w:val="NormalNew"/>
        <w:keepNext w:val="false"/>
        <w:keepLines w:val="false"/>
        <w:pageBreakBefore w:val="false"/>
        <w:widowControl w:val="false"/>
        <w:kinsoku w:val="true"/>
        <w:overflowPunct w:val="true"/>
        <w:autoSpaceDE w:val="true"/>
        <w:bidi w:val="0"/>
        <w:snapToGrid w:val="true"/>
        <w:spacing w:lineRule="exact" w:line="578" w:before="0" w:after="0"/>
        <w:ind w:firstLineChars="0" w:firstLine="0" w:startChars="0" w:start="0" w:endChars="0" w:end="0"/>
        <w:jc w:val="center"/>
        <w:textAlignment w:val="auto"/>
        <w:rPr>
          <w:rFonts w:ascii="黑体" w:hAnsi="黑体" w:eastAsia="黑体" w:cs="黑体" w:hint="eastAsia"/>
          <w:kern w:val="0"/>
          <w:sz w:val="32"/>
          <w:szCs w:val="22"/>
        </w:rPr>
      </w:pPr>
      <w:r>
        <w:rPr>
          <w:rFonts w:ascii="黑体" w:hAnsi="黑体" w:cs="黑体" w:hint="eastAsia" w:eastAsia="黑体"/>
          <w:kern w:val="0"/>
          <w:sz w:val="32"/>
          <w:szCs w:val="22"/>
        </w:rPr>
        <w:t>第三章  工程保护</w:t>
      </w:r>
    </w:p>
    <w:p>
      <w:pPr>
        <w:pStyle w:val="Normal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黑体" w:hAnsi="黑体" w:eastAsia="黑体" w:cs="黑体" w:hint="eastAsia"/>
          <w:kern w:val="0"/>
          <w:sz w:val="32"/>
          <w:szCs w:val="22"/>
        </w:rPr>
      </w:pPr>
      <w:r>
        <w:rPr>
          <w:rFonts w:eastAsia="黑体" w:cs="黑体" w:hint="eastAsia" w:ascii="黑体" w:hAnsi="黑体"/>
          <w:kern w:val="0"/>
          <w:sz w:val="32"/>
          <w:szCs w:val="22"/>
        </w:rPr>
      </w:r>
    </w:p>
    <w:p>
      <w:pPr>
        <w:pStyle w:val="Normal"/>
        <w:keepNext w:val="false"/>
        <w:keepLines w:val="false"/>
        <w:pageBreakBefore w:val="false"/>
        <w:kinsoku w:val="true"/>
        <w:overflowPunct w:val="true"/>
        <w:autoSpaceDE w:val="true"/>
        <w:bidi w:val="0"/>
        <w:spacing w:lineRule="exact" w:line="578"/>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第十八条</w:t>
      </w:r>
      <w:r>
        <w:rPr>
          <w:rFonts w:ascii="仿宋" w:hAnsi="仿宋" w:cs="仿宋" w:hint="eastAsia" w:eastAsia="仿宋"/>
          <w:color w:val="000000"/>
          <w:sz w:val="32"/>
          <w:szCs w:val="32"/>
        </w:rPr>
        <w:t xml:space="preserve">  水利工程的管理范围按照下列标准划定：</w:t>
      </w:r>
    </w:p>
    <w:p>
      <w:pPr>
        <w:pStyle w:val="Normal"/>
        <w:keepNext w:val="false"/>
        <w:keepLines w:val="false"/>
        <w:pageBreakBefore w:val="false"/>
        <w:kinsoku w:val="true"/>
        <w:overflowPunct w:val="true"/>
        <w:autoSpaceDE w:val="true"/>
        <w:bidi w:val="0"/>
        <w:spacing w:lineRule="exact" w:line="578"/>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（一）水库（水电站）土地征用线以内的库区；大坝背水坡脚外，为最大坝高（含基础）的十至三十倍长度对应的坝下区域；</w:t>
      </w:r>
      <w:bookmarkStart w:id="0" w:name="_Hlk36460291"/>
      <w:r>
        <w:rPr>
          <w:rFonts w:ascii="仿宋" w:hAnsi="仿宋" w:cs="仿宋" w:hint="eastAsia" w:eastAsia="仿宋"/>
          <w:color w:val="000000"/>
          <w:sz w:val="32"/>
          <w:szCs w:val="32"/>
        </w:rPr>
        <w:t>山谷型</w:t>
      </w:r>
      <w:bookmarkEnd w:id="0"/>
      <w:r>
        <w:rPr>
          <w:rFonts w:ascii="仿宋" w:hAnsi="仿宋" w:cs="仿宋" w:hint="eastAsia" w:eastAsia="仿宋"/>
          <w:color w:val="000000"/>
          <w:sz w:val="32"/>
          <w:szCs w:val="32"/>
        </w:rPr>
        <w:t xml:space="preserve">水库大坝两端至分水岭为半径，圆弧与库区土地征用线和河道相交范围内的区域；平原水库大坝两端外延五十米至五百米为半径的区域； </w:t>
      </w:r>
    </w:p>
    <w:p>
      <w:pPr>
        <w:pStyle w:val="Normal"/>
        <w:keepNext w:val="false"/>
        <w:keepLines w:val="false"/>
        <w:pageBreakBefore w:val="false"/>
        <w:kinsoku w:val="true"/>
        <w:overflowPunct w:val="true"/>
        <w:autoSpaceDE w:val="true"/>
        <w:bidi w:val="0"/>
        <w:spacing w:lineRule="exact" w:line="578"/>
        <w:ind w:firstLineChars="200" w:startChars="0" w:start="0" w:endChars="0" w:end="0"/>
        <w:textAlignment w:val="auto"/>
        <w:rPr>
          <w:rFonts w:ascii="仿宋" w:hAnsi="仿宋" w:eastAsia="仿宋" w:cs="仿宋" w:hint="eastAsia"/>
          <w:strike w:val="false"/>
          <w:dstrike w:val="false"/>
          <w:color w:val="000000"/>
          <w:sz w:val="32"/>
          <w:szCs w:val="32"/>
        </w:rPr>
      </w:pPr>
      <w:r>
        <w:rPr>
          <w:rFonts w:ascii="仿宋" w:hAnsi="仿宋" w:cs="仿宋" w:hint="eastAsia" w:eastAsia="仿宋"/>
          <w:color w:val="000000"/>
          <w:sz w:val="32"/>
          <w:szCs w:val="32"/>
        </w:rPr>
        <w:t>（二）堤防堤身及背水侧护堤地</w:t>
      </w:r>
      <w:r>
        <w:rPr>
          <w:rFonts w:ascii="仿宋" w:hAnsi="仿宋" w:cs="仿宋" w:hint="eastAsia" w:eastAsia="仿宋"/>
          <w:strike w:val="false"/>
          <w:dstrike w:val="false"/>
          <w:color w:val="000000"/>
          <w:sz w:val="32"/>
          <w:szCs w:val="32"/>
        </w:rPr>
        <w:t>，其中，一级堤防</w:t>
      </w:r>
      <w:bookmarkStart w:id="1" w:name="_Hlk36466788"/>
      <w:r>
        <w:rPr>
          <w:rFonts w:ascii="仿宋" w:hAnsi="仿宋" w:cs="仿宋" w:hint="eastAsia" w:eastAsia="仿宋"/>
          <w:strike w:val="false"/>
          <w:dstrike w:val="false"/>
          <w:color w:val="000000"/>
          <w:sz w:val="32"/>
          <w:szCs w:val="32"/>
        </w:rPr>
        <w:t>单侧</w:t>
      </w:r>
      <w:bookmarkEnd w:id="1"/>
      <w:r>
        <w:rPr>
          <w:rFonts w:ascii="仿宋" w:hAnsi="仿宋" w:cs="仿宋" w:hint="eastAsia" w:eastAsia="仿宋"/>
          <w:strike w:val="false"/>
          <w:dstrike w:val="false"/>
          <w:color w:val="000000"/>
          <w:sz w:val="32"/>
          <w:szCs w:val="32"/>
        </w:rPr>
        <w:t>护堤地范围为二十米至三十米，二、三级堤防单侧护堤地范围为十米至二十米；</w:t>
      </w:r>
    </w:p>
    <w:p>
      <w:pPr>
        <w:pStyle w:val="Normal"/>
        <w:keepNext w:val="false"/>
        <w:keepLines w:val="false"/>
        <w:pageBreakBefore w:val="false"/>
        <w:kinsoku w:val="true"/>
        <w:overflowPunct w:val="true"/>
        <w:autoSpaceDE w:val="true"/>
        <w:bidi w:val="0"/>
        <w:spacing w:lineRule="exact" w:line="578"/>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（三）输水管道（隧洞）；</w:t>
      </w:r>
    </w:p>
    <w:p>
      <w:pPr>
        <w:pStyle w:val="Normal"/>
        <w:keepNext w:val="false"/>
        <w:keepLines w:val="false"/>
        <w:pageBreakBefore w:val="false"/>
        <w:kinsoku w:val="true"/>
        <w:overflowPunct w:val="true"/>
        <w:autoSpaceDE w:val="true"/>
        <w:bidi w:val="0"/>
        <w:spacing w:lineRule="exact" w:line="578"/>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（四）流量十立方米每秒以上的灌溉排水渠道，渠道开挖边线（填方外脚线）外延五米至十米</w:t>
      </w:r>
      <w:bookmarkStart w:id="2" w:name="_Hlk36725757"/>
      <w:r>
        <w:rPr>
          <w:rFonts w:ascii="仿宋" w:hAnsi="仿宋" w:cs="仿宋" w:hint="eastAsia" w:eastAsia="仿宋"/>
          <w:color w:val="000000"/>
          <w:sz w:val="32"/>
          <w:szCs w:val="32"/>
        </w:rPr>
        <w:t>的区域</w:t>
      </w:r>
      <w:bookmarkEnd w:id="2"/>
      <w:r>
        <w:rPr>
          <w:rFonts w:ascii="仿宋" w:hAnsi="仿宋" w:cs="仿宋" w:hint="eastAsia" w:eastAsia="仿宋"/>
          <w:color w:val="000000"/>
          <w:sz w:val="32"/>
          <w:szCs w:val="32"/>
        </w:rPr>
        <w:t>；流量五立方米每秒以上十立方米每秒以下（不含本数）的灌溉排水渠道，渠道开挖边线（填方外脚线）外延一米至五米的区域；</w:t>
      </w:r>
    </w:p>
    <w:p>
      <w:pPr>
        <w:pStyle w:val="Normal"/>
        <w:keepNext w:val="false"/>
        <w:keepLines w:val="false"/>
        <w:pageBreakBefore w:val="false"/>
        <w:kinsoku w:val="true"/>
        <w:overflowPunct w:val="true"/>
        <w:autoSpaceDE w:val="true"/>
        <w:bidi w:val="0"/>
        <w:spacing w:lineRule="exact" w:line="578"/>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 xml:space="preserve">（五）水闸主体工程建筑物覆盖范围以外一定范围的区域，其中，大型水闸上、下游外延不大于三百米，两侧外延不大于一百米的区域；中型水闸上、下游外延不大于一百五十米，两侧外延不大于四十米的区域； </w:t>
      </w:r>
    </w:p>
    <w:p>
      <w:pPr>
        <w:pStyle w:val="Normal"/>
        <w:keepNext w:val="false"/>
        <w:keepLines w:val="false"/>
        <w:pageBreakBefore w:val="false"/>
        <w:kinsoku w:val="true"/>
        <w:overflowPunct w:val="true"/>
        <w:autoSpaceDE w:val="true"/>
        <w:bidi w:val="0"/>
        <w:spacing w:lineRule="exact" w:line="578"/>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（六）大、中型泵站厂区构筑物和前池、进出水道等建筑物外延十米至三十米的区域。</w:t>
      </w:r>
    </w:p>
    <w:p>
      <w:pPr>
        <w:pStyle w:val="Normal"/>
        <w:keepNext w:val="false"/>
        <w:keepLines w:val="false"/>
        <w:pageBreakBefore w:val="false"/>
        <w:kinsoku w:val="true"/>
        <w:overflowPunct w:val="true"/>
        <w:autoSpaceDE w:val="true"/>
        <w:bidi w:val="0"/>
        <w:spacing w:lineRule="exact" w:line="578"/>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第十九条</w:t>
      </w:r>
      <w:r>
        <w:rPr>
          <w:rFonts w:ascii="仿宋" w:hAnsi="仿宋" w:cs="仿宋" w:hint="eastAsia" w:eastAsia="仿宋"/>
          <w:color w:val="000000"/>
          <w:sz w:val="32"/>
          <w:szCs w:val="32"/>
        </w:rPr>
        <w:t xml:space="preserve">  水利工程保护范围按照下列标准划定：  </w:t>
      </w:r>
    </w:p>
    <w:p>
      <w:pPr>
        <w:pStyle w:val="Normal"/>
        <w:keepNext w:val="false"/>
        <w:keepLines w:val="false"/>
        <w:pageBreakBefore w:val="false"/>
        <w:kinsoku w:val="true"/>
        <w:overflowPunct w:val="true"/>
        <w:autoSpaceDE w:val="true"/>
        <w:bidi w:val="0"/>
        <w:spacing w:lineRule="exact" w:line="578"/>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（一）水库管理范围边界向外延伸二百米至二千米（不超过分水岭脊线）的区域；</w:t>
      </w:r>
    </w:p>
    <w:p>
      <w:pPr>
        <w:pStyle w:val="Normal"/>
        <w:keepNext w:val="false"/>
        <w:keepLines w:val="false"/>
        <w:pageBreakBefore w:val="false"/>
        <w:kinsoku w:val="true"/>
        <w:overflowPunct w:val="true"/>
        <w:autoSpaceDE w:val="true"/>
        <w:bidi w:val="0"/>
        <w:spacing w:lineRule="exact" w:line="578"/>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（二）一级堤防</w:t>
      </w:r>
      <w:bookmarkStart w:id="3" w:name="_Hlk36466694"/>
      <w:r>
        <w:rPr>
          <w:rFonts w:ascii="仿宋" w:hAnsi="仿宋" w:cs="仿宋" w:hint="eastAsia" w:eastAsia="仿宋"/>
          <w:color w:val="000000"/>
          <w:sz w:val="32"/>
          <w:szCs w:val="32"/>
        </w:rPr>
        <w:t>管理范围边界向外延伸</w:t>
      </w:r>
      <w:bookmarkEnd w:id="3"/>
      <w:r>
        <w:rPr>
          <w:rFonts w:ascii="仿宋" w:hAnsi="仿宋" w:cs="仿宋" w:hint="eastAsia" w:eastAsia="仿宋"/>
          <w:color w:val="000000"/>
          <w:sz w:val="32"/>
          <w:szCs w:val="32"/>
        </w:rPr>
        <w:t>二百米至三百米的区域，二、三级堤防管理范围边界向外延伸一百米至二百米的区域；</w:t>
      </w:r>
    </w:p>
    <w:p>
      <w:pPr>
        <w:pStyle w:val="Normal"/>
        <w:keepNext w:val="false"/>
        <w:keepLines w:val="false"/>
        <w:pageBreakBefore w:val="false"/>
        <w:kinsoku w:val="true"/>
        <w:overflowPunct w:val="true"/>
        <w:autoSpaceDE w:val="true"/>
        <w:bidi w:val="0"/>
        <w:spacing w:lineRule="exact" w:line="578"/>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（三）输水管道（隧洞）上方地面和从其两侧边界向外延伸十米至五十米的地表范围，以及输水管道（隧洞）从外周向外延伸十米至五十米的地下空间；</w:t>
      </w:r>
    </w:p>
    <w:p>
      <w:pPr>
        <w:pStyle w:val="Normal"/>
        <w:keepNext w:val="false"/>
        <w:keepLines w:val="false"/>
        <w:pageBreakBefore w:val="false"/>
        <w:kinsoku w:val="true"/>
        <w:overflowPunct w:val="true"/>
        <w:autoSpaceDE w:val="true"/>
        <w:bidi w:val="0"/>
        <w:spacing w:lineRule="exact" w:line="578"/>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（四）灌溉排水渠道管理范围边界向外延伸不大于十米的区域；</w:t>
      </w:r>
    </w:p>
    <w:p>
      <w:pPr>
        <w:pStyle w:val="Normal"/>
        <w:keepNext w:val="false"/>
        <w:keepLines w:val="false"/>
        <w:pageBreakBefore w:val="false"/>
        <w:kinsoku w:val="true"/>
        <w:overflowPunct w:val="true"/>
        <w:autoSpaceDE w:val="true"/>
        <w:bidi w:val="0"/>
        <w:spacing w:lineRule="exact" w:line="578"/>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（五）大型水闸管理范围边界向上、下游延伸三百米至五百米，向两侧延伸二百米至三百米的区域；中型水闸管理范围边界向上、下游延伸二百米至三百米，向两侧延伸一百米至二百米的区域；</w:t>
      </w:r>
    </w:p>
    <w:p>
      <w:pPr>
        <w:pStyle w:val="Normal"/>
        <w:keepNext w:val="false"/>
        <w:keepLines w:val="false"/>
        <w:pageBreakBefore w:val="false"/>
        <w:kinsoku w:val="true"/>
        <w:overflowPunct w:val="true"/>
        <w:autoSpaceDE w:val="true"/>
        <w:bidi w:val="0"/>
        <w:spacing w:lineRule="exact" w:line="578"/>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（六）大、中型泵站管理范围边界向外延伸十米至三十米的区域。</w:t>
      </w:r>
    </w:p>
    <w:p>
      <w:pPr>
        <w:pStyle w:val="Normal"/>
        <w:keepNext w:val="false"/>
        <w:keepLines w:val="false"/>
        <w:pageBreakBefore w:val="false"/>
        <w:kinsoku w:val="true"/>
        <w:overflowPunct w:val="true"/>
        <w:autoSpaceDE w:val="true"/>
        <w:bidi w:val="0"/>
        <w:spacing w:lineRule="exact" w:line="578"/>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第二十条</w:t>
      </w:r>
      <w:r>
        <w:rPr>
          <w:rFonts w:ascii="仿宋" w:hAnsi="仿宋" w:cs="仿宋" w:hint="eastAsia" w:eastAsia="仿宋"/>
          <w:color w:val="000000"/>
          <w:sz w:val="32"/>
          <w:szCs w:val="32"/>
        </w:rPr>
        <w:t xml:space="preserve">  本条例未规定划定标准的其他水利工程管理范围和保护范围由市、县人民政府确定。</w:t>
      </w:r>
    </w:p>
    <w:p>
      <w:pPr>
        <w:pStyle w:val="Normal"/>
        <w:keepNext w:val="false"/>
        <w:keepLines w:val="false"/>
        <w:pageBreakBefore w:val="false"/>
        <w:kinsoku w:val="true"/>
        <w:overflowPunct w:val="true"/>
        <w:autoSpaceDE w:val="true"/>
        <w:bidi w:val="0"/>
        <w:spacing w:lineRule="exact" w:line="578"/>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水利工程管理范围和保护范围与其他用地范围重叠交叉的，由双方协商解决；不能达成一致的，由有管辖权的人民政府决定。</w:t>
      </w:r>
    </w:p>
    <w:p>
      <w:pPr>
        <w:pStyle w:val="Normal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kern w:val="0"/>
          <w:sz w:val="32"/>
          <w:szCs w:val="22"/>
        </w:rPr>
      </w:pPr>
      <w:r>
        <w:rPr>
          <w:rFonts w:ascii="黑体" w:hAnsi="黑体" w:cs="黑体" w:hint="eastAsia" w:eastAsia="黑体"/>
          <w:kern w:val="0"/>
          <w:sz w:val="32"/>
          <w:szCs w:val="22"/>
        </w:rPr>
        <w:t xml:space="preserve">第二十一条  </w:t>
      </w:r>
      <w:r>
        <w:rPr>
          <w:rFonts w:ascii="仿宋" w:hAnsi="仿宋" w:cs="仿宋" w:hint="eastAsia" w:eastAsia="仿宋"/>
          <w:kern w:val="0"/>
          <w:sz w:val="32"/>
          <w:szCs w:val="22"/>
        </w:rPr>
        <w:t>省、市、县人民政府按照管理权限组织有关部门，按照必要、适当、合理的原则划定水利工程管理和保护范围边界，并向社会公布。</w:t>
      </w:r>
    </w:p>
    <w:p>
      <w:pPr>
        <w:pStyle w:val="Normal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kern w:val="0"/>
          <w:sz w:val="32"/>
          <w:szCs w:val="22"/>
        </w:rPr>
      </w:pPr>
      <w:r>
        <w:rPr>
          <w:rFonts w:ascii="仿宋" w:hAnsi="仿宋" w:cs="仿宋" w:hint="eastAsia" w:eastAsia="仿宋"/>
          <w:kern w:val="0"/>
          <w:sz w:val="32"/>
          <w:szCs w:val="22"/>
        </w:rPr>
        <w:t>水利工程管理单位和水利工程所有者、经营者应当按照划定的范围设立界桩、标识牌等保护标志，以及必要的安全隔离设施，同时在水库大坝、水电站、水闸等工程设施设立安全警示标志。</w:t>
      </w:r>
    </w:p>
    <w:p>
      <w:pPr>
        <w:pStyle w:val="Normal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kern w:val="0"/>
          <w:sz w:val="32"/>
          <w:szCs w:val="22"/>
        </w:rPr>
      </w:pPr>
      <w:r>
        <w:rPr>
          <w:rFonts w:ascii="仿宋" w:hAnsi="仿宋" w:cs="仿宋" w:hint="eastAsia" w:eastAsia="仿宋"/>
          <w:kern w:val="0"/>
          <w:sz w:val="32"/>
          <w:szCs w:val="22"/>
        </w:rPr>
        <w:t>本条例施行之前，水利工程已经划定管理范围和保护范围的，不再重新划定。</w:t>
      </w:r>
    </w:p>
    <w:p>
      <w:pPr>
        <w:pStyle w:val="Normal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kern w:val="0"/>
          <w:sz w:val="32"/>
          <w:szCs w:val="22"/>
        </w:rPr>
      </w:pPr>
      <w:r>
        <w:rPr>
          <w:rFonts w:ascii="黑体" w:hAnsi="黑体" w:cs="黑体" w:hint="eastAsia" w:eastAsia="黑体"/>
          <w:kern w:val="0"/>
          <w:sz w:val="32"/>
          <w:szCs w:val="22"/>
        </w:rPr>
        <w:t xml:space="preserve">第二十二条  </w:t>
      </w:r>
      <w:r>
        <w:rPr>
          <w:rFonts w:ascii="仿宋" w:hAnsi="仿宋" w:cs="仿宋" w:hint="eastAsia" w:eastAsia="仿宋"/>
          <w:kern w:val="0"/>
          <w:sz w:val="32"/>
          <w:szCs w:val="22"/>
        </w:rPr>
        <w:t>任何单位和个人不得从事下列活动：</w:t>
      </w:r>
    </w:p>
    <w:p>
      <w:pPr>
        <w:pStyle w:val="Normal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kern w:val="0"/>
          <w:sz w:val="32"/>
          <w:szCs w:val="22"/>
        </w:rPr>
      </w:pPr>
      <w:r>
        <w:rPr>
          <w:rFonts w:ascii="仿宋" w:hAnsi="仿宋" w:cs="仿宋" w:hint="eastAsia" w:eastAsia="仿宋"/>
          <w:kern w:val="0"/>
          <w:sz w:val="32"/>
          <w:szCs w:val="22"/>
        </w:rPr>
        <w:t xml:space="preserve">（一）侵占、拆除、损毁水利工程设施； </w:t>
      </w:r>
    </w:p>
    <w:p>
      <w:pPr>
        <w:pStyle w:val="Normal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kern w:val="0"/>
          <w:sz w:val="32"/>
          <w:szCs w:val="22"/>
        </w:rPr>
      </w:pPr>
      <w:r>
        <w:rPr>
          <w:rFonts w:ascii="仿宋" w:hAnsi="仿宋" w:cs="仿宋" w:hint="eastAsia" w:eastAsia="仿宋"/>
          <w:kern w:val="0"/>
          <w:sz w:val="32"/>
          <w:szCs w:val="22"/>
        </w:rPr>
        <w:t>（二）擅自蓄水、引水、放水、截流、堵塞；</w:t>
      </w:r>
    </w:p>
    <w:p>
      <w:pPr>
        <w:pStyle w:val="Normal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kern w:val="0"/>
          <w:sz w:val="32"/>
          <w:szCs w:val="22"/>
        </w:rPr>
      </w:pPr>
      <w:r>
        <w:rPr>
          <w:rFonts w:ascii="仿宋" w:hAnsi="仿宋" w:cs="仿宋" w:hint="eastAsia" w:eastAsia="仿宋"/>
          <w:kern w:val="0"/>
          <w:sz w:val="32"/>
          <w:szCs w:val="22"/>
        </w:rPr>
        <w:t>（三）移动、覆盖、涂改、损毁界桩、标识牌等保护标志和安全警示标志；</w:t>
      </w:r>
    </w:p>
    <w:p>
      <w:pPr>
        <w:pStyle w:val="Normal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kern w:val="0"/>
          <w:sz w:val="32"/>
          <w:szCs w:val="22"/>
        </w:rPr>
      </w:pPr>
      <w:r>
        <w:rPr>
          <w:rFonts w:ascii="仿宋" w:hAnsi="仿宋" w:cs="仿宋" w:hint="eastAsia" w:eastAsia="仿宋"/>
          <w:kern w:val="0"/>
          <w:sz w:val="32"/>
          <w:szCs w:val="22"/>
        </w:rPr>
        <w:t>（四）在无通行功能的堤顶、坝顶、渠顶、戗台、护堤地和水闸工作桥上行驶机动车辆，但执行防汛抗旱、应急抢险、水利工程管理和维护以及其他紧急任务的车辆除外；</w:t>
      </w:r>
    </w:p>
    <w:p>
      <w:pPr>
        <w:pStyle w:val="Normal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kern w:val="0"/>
          <w:sz w:val="32"/>
          <w:szCs w:val="22"/>
        </w:rPr>
      </w:pPr>
      <w:r>
        <w:rPr>
          <w:rFonts w:ascii="仿宋" w:hAnsi="仿宋" w:cs="仿宋" w:hint="eastAsia" w:eastAsia="仿宋"/>
          <w:kern w:val="0"/>
          <w:sz w:val="32"/>
          <w:szCs w:val="22"/>
        </w:rPr>
        <w:t>（五）法律、法规禁止的其他活动。</w:t>
      </w:r>
    </w:p>
    <w:p>
      <w:pPr>
        <w:pStyle w:val="Normal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kern w:val="0"/>
          <w:sz w:val="32"/>
          <w:szCs w:val="22"/>
        </w:rPr>
      </w:pPr>
      <w:r>
        <w:rPr>
          <w:rFonts w:ascii="黑体" w:hAnsi="黑体" w:cs="黑体" w:hint="eastAsia" w:eastAsia="黑体"/>
          <w:kern w:val="0"/>
          <w:sz w:val="32"/>
          <w:szCs w:val="22"/>
        </w:rPr>
        <w:t xml:space="preserve">第二十三条  </w:t>
      </w:r>
      <w:r>
        <w:rPr>
          <w:rFonts w:ascii="仿宋" w:hAnsi="仿宋" w:cs="仿宋" w:hint="eastAsia" w:eastAsia="仿宋"/>
          <w:kern w:val="0"/>
          <w:sz w:val="32"/>
          <w:szCs w:val="22"/>
        </w:rPr>
        <w:t>在水利工程保护范围内，禁止从事影响工程运行和危害工程安全的爆破、打井、采石、取土、挖砂、开矿、堆积大宗物料等活动。</w:t>
      </w:r>
    </w:p>
    <w:p>
      <w:pPr>
        <w:pStyle w:val="Normal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kern w:val="0"/>
          <w:sz w:val="32"/>
          <w:szCs w:val="22"/>
        </w:rPr>
      </w:pPr>
      <w:r>
        <w:rPr>
          <w:rFonts w:ascii="黑体" w:hAnsi="黑体" w:cs="黑体" w:hint="eastAsia" w:eastAsia="黑体"/>
          <w:kern w:val="0"/>
          <w:sz w:val="32"/>
          <w:szCs w:val="22"/>
        </w:rPr>
        <w:t xml:space="preserve">第二十四条  </w:t>
      </w:r>
      <w:r>
        <w:rPr>
          <w:rFonts w:ascii="仿宋" w:hAnsi="仿宋" w:cs="仿宋" w:hint="eastAsia" w:eastAsia="仿宋"/>
          <w:kern w:val="0"/>
          <w:sz w:val="32"/>
          <w:szCs w:val="22"/>
        </w:rPr>
        <w:t>在水利工程管理范围内，除执行本条例第二十三条规定外，还禁止从事下列活动：</w:t>
      </w:r>
    </w:p>
    <w:p>
      <w:pPr>
        <w:pStyle w:val="Normal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kern w:val="0"/>
          <w:sz w:val="32"/>
          <w:szCs w:val="22"/>
        </w:rPr>
      </w:pPr>
      <w:r>
        <w:rPr>
          <w:rFonts w:ascii="仿宋" w:hAnsi="仿宋" w:cs="仿宋" w:hint="eastAsia" w:eastAsia="仿宋"/>
          <w:kern w:val="0"/>
          <w:sz w:val="32"/>
          <w:szCs w:val="22"/>
        </w:rPr>
        <w:t>（一）倾倒土、石、矿渣等废弃物，堆放杂物或者掩埋污染水体的物体；</w:t>
      </w:r>
    </w:p>
    <w:p>
      <w:pPr>
        <w:pStyle w:val="Normal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kern w:val="0"/>
          <w:sz w:val="32"/>
          <w:szCs w:val="22"/>
        </w:rPr>
      </w:pPr>
      <w:r>
        <w:rPr>
          <w:rFonts w:ascii="仿宋" w:hAnsi="仿宋" w:cs="仿宋" w:hint="eastAsia" w:eastAsia="仿宋"/>
          <w:kern w:val="0"/>
          <w:sz w:val="32"/>
          <w:szCs w:val="22"/>
        </w:rPr>
        <w:t>（二）兴建影响水利工程安全与正常运行的建筑物、构筑物；</w:t>
      </w:r>
    </w:p>
    <w:p>
      <w:pPr>
        <w:pStyle w:val="Normal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kern w:val="0"/>
          <w:sz w:val="32"/>
          <w:szCs w:val="22"/>
        </w:rPr>
      </w:pPr>
      <w:r>
        <w:rPr>
          <w:rFonts w:ascii="仿宋" w:hAnsi="仿宋" w:cs="仿宋" w:hint="eastAsia" w:eastAsia="仿宋"/>
          <w:kern w:val="0"/>
          <w:sz w:val="32"/>
          <w:szCs w:val="22"/>
        </w:rPr>
        <w:t>（三）开垦造地、修建池塘；</w:t>
      </w:r>
    </w:p>
    <w:p>
      <w:pPr>
        <w:pStyle w:val="Normal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kern w:val="0"/>
          <w:sz w:val="32"/>
          <w:szCs w:val="22"/>
        </w:rPr>
      </w:pPr>
      <w:r>
        <w:rPr>
          <w:rFonts w:ascii="仿宋" w:hAnsi="仿宋" w:cs="仿宋" w:hint="eastAsia" w:eastAsia="仿宋"/>
          <w:kern w:val="0"/>
          <w:sz w:val="32"/>
          <w:szCs w:val="22"/>
        </w:rPr>
        <w:t>（四）法律、法规禁止的其他活动。</w:t>
      </w:r>
    </w:p>
    <w:p>
      <w:pPr>
        <w:pStyle w:val="Normal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kern w:val="0"/>
          <w:sz w:val="32"/>
          <w:szCs w:val="22"/>
        </w:rPr>
      </w:pPr>
      <w:r>
        <w:rPr>
          <w:rFonts w:ascii="黑体" w:hAnsi="黑体" w:cs="黑体" w:hint="eastAsia" w:eastAsia="黑体"/>
          <w:color w:val="000000"/>
          <w:kern w:val="0"/>
          <w:sz w:val="32"/>
          <w:szCs w:val="22"/>
        </w:rPr>
        <w:t>第二十五条</w:t>
      </w:r>
      <w:r>
        <w:rPr>
          <w:rFonts w:ascii="黑体" w:hAnsi="黑体" w:cs="黑体" w:hint="eastAsia" w:eastAsia="黑体"/>
          <w:kern w:val="0"/>
          <w:sz w:val="32"/>
          <w:szCs w:val="22"/>
        </w:rPr>
        <w:t xml:space="preserve">  </w:t>
      </w:r>
      <w:r>
        <w:rPr>
          <w:rFonts w:ascii="仿宋" w:hAnsi="仿宋" w:cs="仿宋" w:hint="eastAsia" w:eastAsia="仿宋"/>
          <w:kern w:val="0"/>
          <w:sz w:val="32"/>
          <w:szCs w:val="22"/>
        </w:rPr>
        <w:t xml:space="preserve">在水利工程保护范围内建设桥梁、码头，铺设管道、电缆的，建设单位应当取得水利工程管理单位或者所有权人同意，采取必要保护措施，保证水利工程的运行和安全，并在工程建设中接受水行政主管部门的监督检查。未达成一致意见的，报相关行政主管部门予以协调。 </w:t>
      </w:r>
    </w:p>
    <w:p>
      <w:pPr>
        <w:pStyle w:val="Normal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kern w:val="0"/>
          <w:sz w:val="32"/>
          <w:szCs w:val="22"/>
        </w:rPr>
      </w:pPr>
      <w:r>
        <w:rPr>
          <w:rFonts w:ascii="仿宋" w:hAnsi="仿宋" w:cs="仿宋" w:hint="eastAsia" w:eastAsia="仿宋"/>
          <w:kern w:val="0"/>
          <w:sz w:val="32"/>
          <w:szCs w:val="22"/>
        </w:rPr>
        <w:t>前款规定的建设项目在施工、维护、检修前，应当通报水利工程管理单位或者所有权人，施工、维护、检修过程中不得影响水利工程设施安全和正常运行。</w:t>
      </w:r>
    </w:p>
    <w:p>
      <w:pPr>
        <w:pStyle w:val="NormalNew"/>
        <w:keepNext w:val="false"/>
        <w:keepLines w:val="false"/>
        <w:pageBreakBefore w:val="false"/>
        <w:widowControl w:val="false"/>
        <w:numPr>
          <w:ilvl w:val="0"/>
          <w:numId w:val="0"/>
        </w:numPr>
        <w:kinsoku w:val="true"/>
        <w:overflowPunct w:val="true"/>
        <w:autoSpaceDE w:val="true"/>
        <w:bidi w:val="0"/>
        <w:snapToGrid w:val="true"/>
        <w:spacing w:lineRule="exact" w:line="578" w:before="0" w:after="0"/>
        <w:ind w:firstLineChars="200" w:startChars="0" w:start="0" w:endChars="0" w:end="0"/>
        <w:textAlignment w:val="auto"/>
        <w:rPr>
          <w:rFonts w:ascii="仿宋" w:hAnsi="仿宋" w:eastAsia="仿宋" w:cs="仿宋" w:hint="eastAsia"/>
          <w:kern w:val="0"/>
          <w:sz w:val="32"/>
          <w:szCs w:val="22"/>
        </w:rPr>
      </w:pPr>
      <w:r>
        <w:rPr>
          <w:rFonts w:ascii="黑体" w:hAnsi="黑体" w:cs="黑体" w:hint="eastAsia" w:eastAsia="黑体"/>
          <w:color w:val="000000"/>
          <w:kern w:val="0"/>
          <w:sz w:val="32"/>
          <w:szCs w:val="22"/>
        </w:rPr>
        <w:t>第二十六条</w:t>
      </w:r>
      <w:r>
        <w:rPr>
          <w:rFonts w:ascii="仿宋" w:hAnsi="仿宋" w:cs="仿宋" w:hint="eastAsia" w:eastAsia="仿宋"/>
          <w:kern w:val="0"/>
          <w:sz w:val="32"/>
          <w:szCs w:val="22"/>
        </w:rPr>
        <w:t xml:space="preserve">  因建设需要确需临时占用、拆除水利工程的，建设单位应当取得水利工程管理单位或者所有权人同意，报相应的水行政主管部门备案，并在商定期限内恢复原状或者改建；不能在商定期限内恢复原状或者改建的，应当依法给予赔偿。未达成一致意见的，报相关行政主管部门予以协调。</w:t>
      </w:r>
    </w:p>
    <w:p>
      <w:pPr>
        <w:pStyle w:val="NormalNew"/>
        <w:keepNext w:val="false"/>
        <w:keepLines w:val="false"/>
        <w:pageBreakBefore w:val="false"/>
        <w:widowControl w:val="false"/>
        <w:numPr>
          <w:ilvl w:val="0"/>
          <w:numId w:val="0"/>
        </w:numPr>
        <w:kinsoku w:val="true"/>
        <w:overflowPunct w:val="true"/>
        <w:autoSpaceDE w:val="true"/>
        <w:bidi w:val="0"/>
        <w:snapToGrid w:val="true"/>
        <w:spacing w:lineRule="exact" w:line="578" w:before="0" w:after="0"/>
        <w:ind w:firstLineChars="0" w:firstLine="0" w:startChars="198" w:endChars="0" w:end="0"/>
        <w:textAlignment w:val="auto"/>
        <w:rPr>
          <w:rFonts w:ascii="仿宋" w:hAnsi="仿宋" w:eastAsia="仿宋" w:cs="仿宋" w:hint="eastAsia"/>
          <w:kern w:val="0"/>
          <w:sz w:val="32"/>
          <w:szCs w:val="22"/>
        </w:rPr>
      </w:pPr>
      <w:r>
        <w:rPr>
          <w:rFonts w:eastAsia="仿宋" w:cs="仿宋" w:hint="eastAsia" w:ascii="仿宋" w:hAnsi="仿宋"/>
          <w:kern w:val="0"/>
          <w:sz w:val="32"/>
          <w:szCs w:val="22"/>
        </w:rPr>
      </w:r>
    </w:p>
    <w:p>
      <w:pPr>
        <w:pStyle w:val="NormalNew"/>
        <w:keepNext w:val="false"/>
        <w:keepLines w:val="false"/>
        <w:pageBreakBefore w:val="false"/>
        <w:widowControl w:val="false"/>
        <w:kinsoku w:val="true"/>
        <w:overflowPunct w:val="true"/>
        <w:autoSpaceDE w:val="true"/>
        <w:bidi w:val="0"/>
        <w:snapToGrid w:val="true"/>
        <w:spacing w:lineRule="exact" w:line="578" w:before="0" w:after="0"/>
        <w:ind w:firstLineChars="0" w:firstLine="0" w:startChars="0" w:start="0" w:endChars="0" w:end="0"/>
        <w:jc w:val="center"/>
        <w:textAlignment w:val="auto"/>
        <w:rPr>
          <w:rFonts w:ascii="黑体" w:hAnsi="黑体" w:eastAsia="黑体" w:cs="黑体" w:hint="eastAsia"/>
          <w:kern w:val="0"/>
          <w:sz w:val="32"/>
          <w:szCs w:val="22"/>
        </w:rPr>
      </w:pPr>
      <w:r>
        <w:rPr>
          <w:rFonts w:ascii="黑体" w:hAnsi="黑体" w:cs="黑体" w:hint="eastAsia" w:eastAsia="黑体"/>
          <w:kern w:val="0"/>
          <w:sz w:val="32"/>
          <w:szCs w:val="22"/>
        </w:rPr>
        <w:t>第四章  工程运行</w:t>
      </w:r>
    </w:p>
    <w:p>
      <w:pPr>
        <w:pStyle w:val="Normal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黑体" w:hAnsi="黑体" w:eastAsia="黑体" w:cs="黑体" w:hint="eastAsia"/>
          <w:kern w:val="0"/>
          <w:sz w:val="32"/>
          <w:szCs w:val="22"/>
        </w:rPr>
      </w:pPr>
      <w:r>
        <w:rPr>
          <w:rFonts w:eastAsia="黑体" w:cs="黑体" w:hint="eastAsia" w:ascii="黑体" w:hAnsi="黑体"/>
          <w:kern w:val="0"/>
          <w:sz w:val="32"/>
          <w:szCs w:val="22"/>
        </w:rPr>
      </w:r>
    </w:p>
    <w:p>
      <w:pPr>
        <w:pStyle w:val="Normal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kern w:val="0"/>
          <w:sz w:val="32"/>
          <w:szCs w:val="22"/>
        </w:rPr>
      </w:pPr>
      <w:r>
        <w:rPr>
          <w:rFonts w:ascii="黑体" w:hAnsi="黑体" w:cs="黑体" w:hint="eastAsia" w:eastAsia="黑体"/>
          <w:kern w:val="0"/>
          <w:sz w:val="32"/>
          <w:szCs w:val="22"/>
        </w:rPr>
        <w:t xml:space="preserve">第二十七条  </w:t>
      </w:r>
      <w:r>
        <w:rPr>
          <w:rFonts w:ascii="仿宋" w:hAnsi="仿宋" w:cs="仿宋" w:hint="eastAsia" w:eastAsia="仿宋"/>
          <w:kern w:val="0"/>
          <w:sz w:val="32"/>
          <w:szCs w:val="22"/>
        </w:rPr>
        <w:t>省、</w:t>
      </w:r>
      <w:r>
        <w:rPr>
          <w:rFonts w:ascii="仿宋" w:hAnsi="仿宋" w:cs="仿宋" w:hint="eastAsia" w:eastAsia="仿宋"/>
          <w:color w:val="000000"/>
          <w:kern w:val="0"/>
          <w:sz w:val="32"/>
          <w:szCs w:val="22"/>
        </w:rPr>
        <w:t>市、县</w:t>
      </w:r>
      <w:r>
        <w:rPr>
          <w:rFonts w:ascii="仿宋" w:hAnsi="仿宋" w:cs="仿宋" w:hint="eastAsia" w:eastAsia="仿宋"/>
          <w:kern w:val="0"/>
          <w:sz w:val="32"/>
          <w:szCs w:val="22"/>
        </w:rPr>
        <w:t>人民政府及有关部门应当依法对水利工程进行确权登记。</w:t>
      </w:r>
    </w:p>
    <w:p>
      <w:pPr>
        <w:pStyle w:val="Normal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kern w:val="0"/>
          <w:sz w:val="32"/>
          <w:szCs w:val="22"/>
        </w:rPr>
      </w:pPr>
      <w:r>
        <w:rPr>
          <w:rFonts w:ascii="黑体" w:hAnsi="黑体" w:cs="黑体" w:hint="eastAsia" w:eastAsia="黑体"/>
          <w:kern w:val="0"/>
          <w:sz w:val="32"/>
          <w:szCs w:val="22"/>
        </w:rPr>
        <w:t xml:space="preserve">第二十八条  </w:t>
      </w:r>
      <w:r>
        <w:rPr>
          <w:rFonts w:ascii="仿宋" w:hAnsi="仿宋" w:cs="仿宋" w:hint="eastAsia" w:eastAsia="仿宋"/>
          <w:kern w:val="0"/>
          <w:sz w:val="32"/>
          <w:szCs w:val="22"/>
        </w:rPr>
        <w:t>省、市、县人民政府应当落实水利工程监督管理责任，建立健全水利工程监督管理和责任追究机制，确保水利工程管理经费足额到位。</w:t>
      </w:r>
    </w:p>
    <w:p>
      <w:pPr>
        <w:pStyle w:val="NormalNew"/>
        <w:keepNext w:val="false"/>
        <w:keepLines w:val="false"/>
        <w:pageBreakBefore w:val="false"/>
        <w:kinsoku w:val="true"/>
        <w:overflowPunct w:val="true"/>
        <w:autoSpaceDE w:val="true"/>
        <w:bidi w:val="0"/>
        <w:spacing w:lineRule="exact" w:line="578"/>
        <w:ind w:firstLineChars="200" w:startChars="0" w:start="0" w:endChars="0" w:end="0"/>
        <w:textAlignment w:val="auto"/>
        <w:rPr>
          <w:rFonts w:ascii="仿宋" w:hAnsi="仿宋" w:eastAsia="仿宋" w:cs="仿宋" w:hint="eastAsia"/>
          <w:bCs/>
          <w:color w:val="C00000"/>
          <w:kern w:val="0"/>
          <w:sz w:val="32"/>
          <w:szCs w:val="32"/>
        </w:rPr>
      </w:pPr>
      <w:r>
        <w:rPr>
          <w:rFonts w:ascii="仿宋" w:hAnsi="仿宋" w:cs="仿宋" w:hint="eastAsia" w:eastAsia="仿宋"/>
          <w:color w:val="000000"/>
          <w:sz w:val="32"/>
          <w:szCs w:val="32"/>
        </w:rPr>
        <w:t>省、市水行政主管部门应当按照国家有关规定，</w:t>
      </w:r>
      <w:r>
        <w:rPr>
          <w:rFonts w:ascii="仿宋" w:hAnsi="仿宋" w:cs="仿宋" w:hint="eastAsia" w:eastAsia="仿宋"/>
          <w:bCs/>
          <w:color w:val="000000"/>
          <w:kern w:val="0"/>
          <w:sz w:val="32"/>
          <w:szCs w:val="32"/>
        </w:rPr>
        <w:t>对下级水行政主管部门以及其他行使水行政管理职责的机构履行水利工程管理职责情况进行监督。</w:t>
      </w:r>
    </w:p>
    <w:p>
      <w:pPr>
        <w:pStyle w:val="Normal"/>
        <w:keepNext w:val="false"/>
        <w:keepLines w:val="false"/>
        <w:pageBreakBefore w:val="false"/>
        <w:kinsoku w:val="true"/>
        <w:overflowPunct w:val="true"/>
        <w:autoSpaceDE w:val="true"/>
        <w:bidi w:val="0"/>
        <w:spacing w:lineRule="exact" w:line="578"/>
        <w:ind w:firstLineChars="200" w:startChars="0" w:start="0" w:endChars="0" w:end="0"/>
        <w:textAlignment w:val="auto"/>
        <w:rPr>
          <w:rFonts w:ascii="仿宋" w:hAnsi="仿宋" w:eastAsia="仿宋" w:cs="仿宋" w:hint="eastAsia"/>
          <w:kern w:val="0"/>
          <w:sz w:val="32"/>
          <w:szCs w:val="22"/>
        </w:rPr>
      </w:pPr>
      <w:r>
        <w:rPr>
          <w:rFonts w:ascii="仿宋" w:hAnsi="仿宋" w:cs="仿宋" w:hint="eastAsia" w:eastAsia="仿宋"/>
          <w:color w:val="000000"/>
          <w:sz w:val="32"/>
          <w:szCs w:val="32"/>
        </w:rPr>
        <w:t>被监督单位对依法进行的监督检查应当给予支持和配合，如实反映情况并提供有关资料，不得隐匿、弄虚作假、妨碍或者拒绝监督检查工作。</w:t>
      </w:r>
    </w:p>
    <w:p>
      <w:pPr>
        <w:pStyle w:val="Normal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kern w:val="0"/>
          <w:sz w:val="32"/>
          <w:szCs w:val="22"/>
        </w:rPr>
      </w:pPr>
      <w:r>
        <w:rPr>
          <w:rFonts w:ascii="黑体" w:hAnsi="黑体" w:cs="黑体" w:hint="eastAsia" w:eastAsia="黑体"/>
          <w:kern w:val="0"/>
          <w:sz w:val="32"/>
          <w:szCs w:val="22"/>
        </w:rPr>
        <w:t xml:space="preserve">第二十九条  </w:t>
      </w:r>
      <w:r>
        <w:rPr>
          <w:rFonts w:ascii="仿宋" w:hAnsi="仿宋" w:cs="仿宋" w:hint="eastAsia" w:eastAsia="仿宋"/>
          <w:kern w:val="0"/>
          <w:sz w:val="32"/>
          <w:szCs w:val="22"/>
        </w:rPr>
        <w:t>政府投资建设的大中型水利工程和小型水库，由</w:t>
      </w:r>
      <w:r>
        <w:rPr>
          <w:rFonts w:ascii="仿宋" w:hAnsi="仿宋" w:cs="仿宋" w:hint="eastAsia" w:eastAsia="仿宋"/>
          <w:color w:val="000000"/>
          <w:kern w:val="0"/>
          <w:sz w:val="32"/>
          <w:szCs w:val="22"/>
        </w:rPr>
        <w:t>省、市、县</w:t>
      </w:r>
      <w:r>
        <w:rPr>
          <w:rFonts w:ascii="仿宋" w:hAnsi="仿宋" w:cs="仿宋" w:hint="eastAsia" w:eastAsia="仿宋"/>
          <w:kern w:val="0"/>
          <w:sz w:val="32"/>
          <w:szCs w:val="22"/>
        </w:rPr>
        <w:t>人民政府按照管理权限确定的单位负责运行维护。鼓励通过政府购买服务等方式引进社会力量参与运行维护。</w:t>
      </w:r>
    </w:p>
    <w:p>
      <w:pPr>
        <w:pStyle w:val="Normal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kern w:val="0"/>
          <w:sz w:val="32"/>
          <w:szCs w:val="22"/>
        </w:rPr>
      </w:pPr>
      <w:r>
        <w:rPr>
          <w:rFonts w:ascii="仿宋" w:hAnsi="仿宋" w:cs="仿宋" w:hint="eastAsia" w:eastAsia="仿宋"/>
          <w:kern w:val="0"/>
          <w:sz w:val="32"/>
          <w:szCs w:val="22"/>
        </w:rPr>
        <w:t>政府投资建设或者财政补助建设的小型水库以外的小型水利工程，按照规定交由受益农村集体经济组织、农民用水合作组织、新型农业经营主体、农民等使用和管理的，由受益者或者其委托的单位、个人负责运行维护。</w:t>
      </w:r>
    </w:p>
    <w:p>
      <w:pPr>
        <w:pStyle w:val="Normal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kern w:val="0"/>
          <w:sz w:val="32"/>
          <w:szCs w:val="22"/>
        </w:rPr>
      </w:pPr>
      <w:r>
        <w:rPr>
          <w:rFonts w:ascii="黑体" w:hAnsi="黑体" w:cs="黑体" w:hint="eastAsia" w:eastAsia="黑体"/>
          <w:kern w:val="0"/>
          <w:sz w:val="32"/>
          <w:szCs w:val="22"/>
        </w:rPr>
        <w:t xml:space="preserve">第三十条  </w:t>
      </w:r>
      <w:r>
        <w:rPr>
          <w:rFonts w:ascii="仿宋" w:hAnsi="仿宋" w:cs="仿宋" w:hint="eastAsia" w:eastAsia="仿宋"/>
          <w:kern w:val="0"/>
          <w:sz w:val="32"/>
          <w:szCs w:val="22"/>
        </w:rPr>
        <w:t>农村集体经济组织筹资筹劳建设的水利工程，由农村集体经济组织或者其委托的单位、个人负责运行维护。</w:t>
      </w:r>
    </w:p>
    <w:p>
      <w:pPr>
        <w:pStyle w:val="Normal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kern w:val="0"/>
          <w:sz w:val="32"/>
          <w:szCs w:val="22"/>
        </w:rPr>
      </w:pPr>
      <w:r>
        <w:rPr>
          <w:rFonts w:ascii="仿宋" w:hAnsi="仿宋" w:cs="仿宋" w:hint="eastAsia" w:eastAsia="仿宋"/>
          <w:kern w:val="0"/>
          <w:sz w:val="32"/>
          <w:szCs w:val="22"/>
        </w:rPr>
        <w:t>个人或者其他社会力量投资建设的水利工程，由投资者或者其委托的单位、个人负责运行维护。</w:t>
      </w:r>
    </w:p>
    <w:p>
      <w:pPr>
        <w:pStyle w:val="Normal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color w:val="000000"/>
          <w:kern w:val="0"/>
          <w:sz w:val="32"/>
          <w:szCs w:val="22"/>
        </w:rPr>
      </w:pPr>
      <w:r>
        <w:rPr>
          <w:rFonts w:ascii="黑体" w:hAnsi="黑体" w:cs="黑体" w:hint="eastAsia" w:eastAsia="黑体"/>
          <w:color w:val="000000"/>
          <w:kern w:val="0"/>
          <w:sz w:val="32"/>
          <w:szCs w:val="22"/>
        </w:rPr>
        <w:t xml:space="preserve">第三十一条  </w:t>
      </w:r>
      <w:r>
        <w:rPr>
          <w:rFonts w:ascii="仿宋" w:hAnsi="仿宋" w:cs="仿宋" w:hint="eastAsia" w:eastAsia="仿宋"/>
          <w:color w:val="000000"/>
          <w:kern w:val="0"/>
          <w:sz w:val="32"/>
          <w:szCs w:val="22"/>
        </w:rPr>
        <w:t>水利工程管理单位具体负责水利工程的运行维护和安全管理。其主要职责为：</w:t>
      </w:r>
    </w:p>
    <w:p>
      <w:pPr>
        <w:pStyle w:val="Normal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color w:val="000000"/>
          <w:kern w:val="0"/>
          <w:sz w:val="32"/>
          <w:szCs w:val="22"/>
        </w:rPr>
      </w:pPr>
      <w:r>
        <w:rPr>
          <w:rFonts w:ascii="仿宋" w:hAnsi="仿宋" w:cs="仿宋" w:hint="eastAsia" w:eastAsia="仿宋"/>
          <w:color w:val="000000"/>
          <w:kern w:val="0"/>
          <w:sz w:val="32"/>
          <w:szCs w:val="22"/>
        </w:rPr>
        <w:t>（一）建立健全管理制度，按照有关规程规范工程运行管理；</w:t>
      </w:r>
    </w:p>
    <w:p>
      <w:pPr>
        <w:pStyle w:val="Normal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color w:val="000000"/>
          <w:kern w:val="0"/>
          <w:sz w:val="32"/>
          <w:szCs w:val="22"/>
        </w:rPr>
      </w:pPr>
      <w:r>
        <w:rPr>
          <w:rFonts w:ascii="仿宋" w:hAnsi="仿宋" w:cs="仿宋" w:hint="eastAsia" w:eastAsia="仿宋"/>
          <w:color w:val="000000"/>
          <w:kern w:val="0"/>
          <w:sz w:val="32"/>
          <w:szCs w:val="22"/>
        </w:rPr>
        <w:t>（二）做好水利工程检查、观测、记录和有关资料的收集、整理、分析工作，完善水利工程技术档案；</w:t>
      </w:r>
    </w:p>
    <w:p>
      <w:pPr>
        <w:pStyle w:val="Normal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color w:val="000000"/>
          <w:kern w:val="0"/>
          <w:sz w:val="32"/>
          <w:szCs w:val="22"/>
        </w:rPr>
      </w:pPr>
      <w:r>
        <w:rPr>
          <w:rFonts w:ascii="仿宋" w:hAnsi="仿宋" w:cs="仿宋" w:hint="eastAsia" w:eastAsia="仿宋"/>
          <w:color w:val="000000"/>
          <w:kern w:val="0"/>
          <w:sz w:val="32"/>
          <w:szCs w:val="22"/>
        </w:rPr>
        <w:t>（三）承担水利工程日常维修养护，确保工程设施完好和正常运行；</w:t>
      </w:r>
    </w:p>
    <w:p>
      <w:pPr>
        <w:pStyle w:val="Normal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color w:val="000000"/>
          <w:kern w:val="0"/>
          <w:sz w:val="32"/>
          <w:szCs w:val="22"/>
        </w:rPr>
      </w:pPr>
      <w:r>
        <w:rPr>
          <w:rFonts w:ascii="仿宋" w:hAnsi="仿宋" w:cs="仿宋" w:hint="eastAsia" w:eastAsia="仿宋"/>
          <w:color w:val="000000"/>
          <w:kern w:val="0"/>
          <w:sz w:val="32"/>
          <w:szCs w:val="22"/>
        </w:rPr>
        <w:t>（四）法律、法规规定的其他职责。</w:t>
      </w:r>
    </w:p>
    <w:p>
      <w:pPr>
        <w:pStyle w:val="Normal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color w:val="000000"/>
          <w:kern w:val="0"/>
          <w:sz w:val="32"/>
          <w:szCs w:val="22"/>
        </w:rPr>
      </w:pPr>
      <w:r>
        <w:rPr>
          <w:rFonts w:ascii="黑体" w:hAnsi="黑体" w:cs="黑体" w:hint="eastAsia" w:eastAsia="黑体"/>
          <w:color w:val="000000"/>
          <w:kern w:val="0"/>
          <w:sz w:val="32"/>
          <w:szCs w:val="22"/>
        </w:rPr>
        <w:t xml:space="preserve">第三十二条  </w:t>
      </w:r>
      <w:r>
        <w:rPr>
          <w:rFonts w:ascii="仿宋" w:hAnsi="仿宋" w:cs="仿宋" w:hint="eastAsia" w:eastAsia="仿宋"/>
          <w:color w:val="000000"/>
          <w:kern w:val="0"/>
          <w:sz w:val="32"/>
          <w:szCs w:val="22"/>
        </w:rPr>
        <w:t>水利工程管理单位应当严格执行防汛抗旱调度指令。水利工程的发电、供水等与防汛抗旱发生矛盾时，应当服从防汛抗旱的调度指挥。</w:t>
      </w:r>
    </w:p>
    <w:p>
      <w:pPr>
        <w:pStyle w:val="NormalNew"/>
        <w:keepNext w:val="false"/>
        <w:keepLines w:val="false"/>
        <w:pageBreakBefore w:val="false"/>
        <w:kinsoku w:val="true"/>
        <w:overflowPunct w:val="true"/>
        <w:autoSpaceDE w:val="true"/>
        <w:bidi w:val="0"/>
        <w:spacing w:lineRule="exact" w:line="578"/>
        <w:ind w:firstLineChars="198" w:startChars="0" w:start="0" w:endChars="0" w:end="0"/>
        <w:textAlignment w:val="auto"/>
        <w:rPr>
          <w:rFonts w:ascii="仿宋" w:hAnsi="仿宋" w:eastAsia="仿宋" w:cs="仿宋" w:hint="eastAsia"/>
          <w:color w:val="000000"/>
          <w:kern w:val="0"/>
          <w:sz w:val="32"/>
          <w:szCs w:val="22"/>
        </w:rPr>
      </w:pPr>
      <w:r>
        <w:rPr>
          <w:rFonts w:ascii="黑体" w:hAnsi="黑体" w:cs="黑体" w:eastAsia="黑体"/>
          <w:color w:val="000000"/>
          <w:sz w:val="32"/>
          <w:szCs w:val="32"/>
        </w:rPr>
        <w:t>第三十</w:t>
      </w:r>
      <w:r>
        <w:rPr>
          <w:rFonts w:ascii="黑体" w:hAnsi="黑体" w:cs="黑体" w:hint="eastAsia" w:eastAsia="黑体"/>
          <w:color w:val="000000"/>
          <w:sz w:val="32"/>
          <w:szCs w:val="32"/>
        </w:rPr>
        <w:t>三</w:t>
      </w:r>
      <w:r>
        <w:rPr>
          <w:rFonts w:ascii="黑体" w:hAnsi="黑体" w:cs="黑体" w:eastAsia="黑体"/>
          <w:color w:val="000000"/>
          <w:sz w:val="32"/>
          <w:szCs w:val="32"/>
        </w:rPr>
        <w:t>条</w:t>
      </w:r>
      <w:r>
        <w:rPr>
          <w:rFonts w:ascii="黑体" w:hAnsi="黑体" w:cs="黑体" w:hint="eastAsia" w:eastAsia="黑体"/>
          <w:color w:val="000000"/>
          <w:sz w:val="32"/>
          <w:szCs w:val="32"/>
        </w:rPr>
        <w:t xml:space="preserve"> </w:t>
      </w:r>
      <w:r>
        <w:rPr>
          <w:rFonts w:ascii="黑体" w:hAnsi="黑体" w:cs="黑体" w:eastAsia="黑体"/>
          <w:color w:val="000000"/>
          <w:sz w:val="32"/>
          <w:szCs w:val="32"/>
        </w:rPr>
        <w:t xml:space="preserve"> </w:t>
      </w:r>
      <w:r>
        <w:rPr>
          <w:rFonts w:ascii="仿宋" w:hAnsi="仿宋" w:cs="仿宋" w:hint="eastAsia" w:eastAsia="仿宋"/>
          <w:color w:val="000000"/>
          <w:sz w:val="32"/>
          <w:szCs w:val="32"/>
        </w:rPr>
        <w:t>水利工程管理单位应当综合运用卫星遥感、视频监控等技术，对重要的水库大坝、水闸、堤防、泵站以及险工险段等水利工程进行实时监测预警，保障水利工程安全运行。</w:t>
      </w:r>
    </w:p>
    <w:p>
      <w:pPr>
        <w:pStyle w:val="Normal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kern w:val="0"/>
          <w:sz w:val="32"/>
          <w:szCs w:val="22"/>
        </w:rPr>
      </w:pPr>
      <w:r>
        <w:rPr>
          <w:rFonts w:ascii="黑体" w:hAnsi="黑体" w:cs="黑体" w:hint="eastAsia" w:eastAsia="黑体"/>
          <w:kern w:val="0"/>
          <w:sz w:val="32"/>
          <w:szCs w:val="22"/>
        </w:rPr>
        <w:t xml:space="preserve">第三十四条  </w:t>
      </w:r>
      <w:r>
        <w:rPr>
          <w:rFonts w:ascii="仿宋" w:hAnsi="仿宋" w:cs="仿宋" w:hint="eastAsia" w:eastAsia="仿宋"/>
          <w:kern w:val="0"/>
          <w:sz w:val="32"/>
          <w:szCs w:val="22"/>
        </w:rPr>
        <w:t>公益性为主的水利工程的管理、养护、维修以及更新改造经费由本级人民政府按照国家有关规定纳入财政预算。</w:t>
      </w:r>
    </w:p>
    <w:p>
      <w:pPr>
        <w:pStyle w:val="Normal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kern w:val="0"/>
          <w:sz w:val="32"/>
          <w:szCs w:val="22"/>
        </w:rPr>
      </w:pPr>
      <w:r>
        <w:rPr>
          <w:rFonts w:ascii="仿宋" w:hAnsi="仿宋" w:cs="仿宋" w:hint="eastAsia" w:eastAsia="仿宋"/>
          <w:kern w:val="0"/>
          <w:sz w:val="32"/>
          <w:szCs w:val="22"/>
        </w:rPr>
        <w:t>经营性水利工程的管理、养护、维修以及更新改造经费由该工程的所有者或者经营者承担。</w:t>
      </w:r>
    </w:p>
    <w:p>
      <w:pPr>
        <w:pStyle w:val="Normal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color w:val="000000"/>
          <w:kern w:val="2"/>
          <w:sz w:val="32"/>
          <w:szCs w:val="32"/>
        </w:rPr>
      </w:pPr>
      <w:r>
        <w:rPr>
          <w:rFonts w:ascii="黑体" w:hAnsi="黑体" w:cs="黑体" w:hint="eastAsia" w:eastAsia="黑体"/>
          <w:color w:val="000000"/>
          <w:kern w:val="0"/>
          <w:sz w:val="32"/>
          <w:szCs w:val="22"/>
        </w:rPr>
        <w:t xml:space="preserve">第三十五条  </w:t>
      </w:r>
      <w:r>
        <w:rPr>
          <w:rFonts w:ascii="仿宋" w:hAnsi="仿宋" w:cs="仿宋" w:hint="eastAsia" w:eastAsia="仿宋"/>
          <w:color w:val="000000"/>
          <w:kern w:val="2"/>
          <w:sz w:val="32"/>
          <w:szCs w:val="32"/>
        </w:rPr>
        <w:t>对防洪、抗旱、供水以及公共安全有重要影响的水库、堤防不得出租、出借或者发包。</w:t>
      </w:r>
    </w:p>
    <w:p>
      <w:pPr>
        <w:pStyle w:val="Normal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color w:val="000000"/>
          <w:kern w:val="2"/>
          <w:sz w:val="32"/>
          <w:szCs w:val="32"/>
        </w:rPr>
      </w:pPr>
      <w:r>
        <w:rPr>
          <w:rFonts w:ascii="仿宋" w:hAnsi="仿宋" w:cs="仿宋" w:hint="eastAsia" w:eastAsia="仿宋"/>
          <w:color w:val="000000"/>
          <w:kern w:val="2"/>
          <w:sz w:val="32"/>
          <w:szCs w:val="32"/>
        </w:rPr>
        <w:t>本条例施行之前，已经出租、出借或者发包的，承租（借）方、承包方应当服从防汛、抗旱等统一调度，并承担日常管护、维修、安全运行等责任。出租、出借或者发包合同不符合法律规定的，依法收回；不能收回的，合同到期后，不再出租、出借或者发包。</w:t>
      </w:r>
    </w:p>
    <w:p>
      <w:pPr>
        <w:pStyle w:val="Normal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kern w:val="0"/>
          <w:sz w:val="32"/>
          <w:szCs w:val="22"/>
        </w:rPr>
      </w:pPr>
      <w:r>
        <w:rPr>
          <w:rFonts w:ascii="黑体" w:hAnsi="黑体" w:cs="黑体" w:hint="eastAsia" w:eastAsia="黑体"/>
          <w:color w:val="000000"/>
          <w:kern w:val="0"/>
          <w:sz w:val="32"/>
          <w:szCs w:val="22"/>
        </w:rPr>
        <w:t>第三十六条</w:t>
      </w:r>
      <w:r>
        <w:rPr>
          <w:rFonts w:ascii="黑体" w:hAnsi="黑体" w:cs="黑体" w:hint="eastAsia" w:eastAsia="黑体"/>
          <w:kern w:val="0"/>
          <w:sz w:val="32"/>
          <w:szCs w:val="22"/>
        </w:rPr>
        <w:t xml:space="preserve">  </w:t>
      </w:r>
      <w:r>
        <w:rPr>
          <w:rFonts w:ascii="仿宋" w:hAnsi="仿宋" w:cs="仿宋" w:hint="eastAsia" w:eastAsia="仿宋"/>
          <w:kern w:val="0"/>
          <w:sz w:val="32"/>
          <w:szCs w:val="22"/>
        </w:rPr>
        <w:t>水利工程管理单位不得擅自改变水利工程的设计和使用功能。水利工程原有功能需要取消或者调整的，水利工程管理单位应当进行技术论证并提出调整方案，在征求相关行业主管部门和利害关系人意见后，按照规定的审批权限报请相关部门批准后组织实施。</w:t>
      </w:r>
    </w:p>
    <w:p>
      <w:pPr>
        <w:pStyle w:val="Normal"/>
        <w:keepNext w:val="false"/>
        <w:keepLines w:val="false"/>
        <w:pageBreakBefore w:val="false"/>
        <w:kinsoku w:val="true"/>
        <w:overflowPunct w:val="true"/>
        <w:autoSpaceDE w:val="true"/>
        <w:bidi w:val="0"/>
        <w:spacing w:lineRule="exact" w:line="578"/>
        <w:ind w:firstLineChars="200" w:startChars="0" w:start="0" w:endChars="0" w:end="0"/>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 xml:space="preserve">第三十七条  </w:t>
      </w:r>
      <w:r>
        <w:rPr>
          <w:rFonts w:ascii="仿宋" w:hAnsi="仿宋" w:cs="仿宋" w:hint="eastAsia" w:eastAsia="仿宋"/>
          <w:color w:val="000000"/>
          <w:sz w:val="32"/>
          <w:szCs w:val="32"/>
        </w:rPr>
        <w:t>水利工程应当明确合理使用年限，工程施工、运行管理应满足工程耐久性设计要求。特别重要的水利工程或者有特殊要求的工程，其合理使用年限和耐久性要求应当进行专门论证，并经相关部门批准确定。当水利工程达到合理使用年限后，如需继续使用，应当进行全面安全鉴定，必要时采取补强加固措施，重新确定使用年限。</w:t>
      </w:r>
    </w:p>
    <w:p>
      <w:pPr>
        <w:pStyle w:val="Normal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kern w:val="0"/>
          <w:sz w:val="32"/>
          <w:szCs w:val="22"/>
        </w:rPr>
      </w:pPr>
      <w:r>
        <w:rPr>
          <w:rFonts w:ascii="仿宋" w:hAnsi="仿宋" w:cs="仿宋" w:hint="eastAsia" w:eastAsia="仿宋"/>
          <w:kern w:val="0"/>
          <w:sz w:val="32"/>
          <w:szCs w:val="22"/>
        </w:rPr>
        <w:t>水利工程超过合理使用年限，并且功能基本丧失、严重损坏而无法继续使用，或者水利工程经鉴定存在病险隐患的，水利工程管理单位或者所有权人应当按照规定向有关部门报告，采取措施排除隐患，申请降低等级或者予以报废。</w:t>
      </w:r>
    </w:p>
    <w:p>
      <w:pPr>
        <w:pStyle w:val="NormalNew"/>
        <w:keepNext w:val="false"/>
        <w:keepLines w:val="false"/>
        <w:pageBreakBefore w:val="false"/>
        <w:widowControl w:val="false"/>
        <w:kinsoku w:val="true"/>
        <w:overflowPunct w:val="true"/>
        <w:autoSpaceDE w:val="true"/>
        <w:bidi w:val="0"/>
        <w:snapToGrid w:val="true"/>
        <w:spacing w:lineRule="exact" w:line="578" w:before="0" w:after="0"/>
        <w:ind w:firstLineChars="0" w:firstLine="0" w:startChars="0" w:start="0" w:endChars="0" w:end="0"/>
        <w:jc w:val="center"/>
        <w:textAlignment w:val="auto"/>
        <w:rPr>
          <w:rFonts w:ascii="黑体" w:hAnsi="黑体" w:eastAsia="黑体" w:cs="黑体" w:hint="eastAsia"/>
          <w:kern w:val="0"/>
          <w:sz w:val="32"/>
          <w:szCs w:val="22"/>
        </w:rPr>
      </w:pPr>
      <w:r>
        <w:rPr>
          <w:rFonts w:eastAsia="黑体" w:cs="黑体" w:hint="eastAsia" w:ascii="黑体" w:hAnsi="黑体"/>
          <w:kern w:val="0"/>
          <w:sz w:val="32"/>
          <w:szCs w:val="22"/>
        </w:rPr>
      </w:r>
    </w:p>
    <w:p>
      <w:pPr>
        <w:pStyle w:val="NormalNew"/>
        <w:keepNext w:val="false"/>
        <w:keepLines w:val="false"/>
        <w:pageBreakBefore w:val="false"/>
        <w:widowControl w:val="false"/>
        <w:numPr>
          <w:ilvl w:val="0"/>
          <w:numId w:val="1"/>
        </w:numPr>
        <w:kinsoku w:val="true"/>
        <w:overflowPunct w:val="true"/>
        <w:autoSpaceDE w:val="true"/>
        <w:bidi w:val="0"/>
        <w:snapToGrid w:val="true"/>
        <w:spacing w:lineRule="exact" w:line="578" w:before="0" w:after="0"/>
        <w:ind w:firstLineChars="0" w:firstLine="0" w:startChars="0" w:start="0" w:endChars="0" w:end="0"/>
        <w:jc w:val="center"/>
        <w:textAlignment w:val="auto"/>
        <w:rPr>
          <w:rFonts w:ascii="黑体" w:hAnsi="黑体" w:eastAsia="黑体" w:cs="黑体" w:hint="eastAsia"/>
          <w:kern w:val="0"/>
          <w:sz w:val="32"/>
          <w:szCs w:val="22"/>
        </w:rPr>
      </w:pPr>
      <w:r>
        <w:rPr>
          <w:rFonts w:eastAsia="黑体" w:cs="黑体" w:hint="eastAsia" w:ascii="黑体" w:hAnsi="黑体"/>
          <w:kern w:val="0"/>
          <w:sz w:val="32"/>
          <w:szCs w:val="22"/>
        </w:rPr>
        <w:t xml:space="preserve"> </w:t>
      </w:r>
      <w:r>
        <w:rPr>
          <w:rFonts w:ascii="黑体" w:hAnsi="黑体" w:cs="黑体" w:hint="eastAsia" w:eastAsia="黑体"/>
          <w:kern w:val="0"/>
          <w:sz w:val="32"/>
          <w:szCs w:val="22"/>
        </w:rPr>
        <w:t>法律责任</w:t>
      </w:r>
    </w:p>
    <w:p>
      <w:pPr>
        <w:pStyle w:val="NormalNew"/>
        <w:keepNext w:val="false"/>
        <w:keepLines w:val="false"/>
        <w:pageBreakBefore w:val="false"/>
        <w:widowControl w:val="false"/>
        <w:numPr>
          <w:ilvl w:val="0"/>
          <w:numId w:val="0"/>
        </w:numPr>
        <w:kinsoku w:val="true"/>
        <w:overflowPunct w:val="true"/>
        <w:autoSpaceDE w:val="true"/>
        <w:bidi w:val="0"/>
        <w:snapToGrid w:val="true"/>
        <w:spacing w:lineRule="exact" w:line="578" w:before="0" w:after="0"/>
        <w:ind w:firstLineChars="0" w:firstLine="0" w:startChars="0" w:start="0" w:endChars="0" w:end="0"/>
        <w:jc w:val="both"/>
        <w:textAlignment w:val="auto"/>
        <w:rPr>
          <w:rFonts w:ascii="黑体" w:hAnsi="黑体" w:eastAsia="黑体" w:cs="黑体" w:hint="eastAsia"/>
          <w:kern w:val="0"/>
          <w:sz w:val="32"/>
          <w:szCs w:val="22"/>
        </w:rPr>
      </w:pPr>
      <w:r>
        <w:rPr>
          <w:rFonts w:eastAsia="黑体" w:cs="黑体" w:hint="eastAsia" w:ascii="黑体" w:hAnsi="黑体"/>
          <w:kern w:val="0"/>
          <w:sz w:val="32"/>
          <w:szCs w:val="22"/>
        </w:rPr>
      </w:r>
    </w:p>
    <w:p>
      <w:pPr>
        <w:pStyle w:val="NormalNew"/>
        <w:keepNext w:val="false"/>
        <w:keepLines w:val="false"/>
        <w:pageBreakBefore w:val="false"/>
        <w:kinsoku w:val="true"/>
        <w:overflowPunct w:val="true"/>
        <w:autoSpaceDE w:val="true"/>
        <w:bidi w:val="0"/>
        <w:spacing w:lineRule="exact" w:line="578"/>
        <w:ind w:firstLineChars="200" w:startChars="0" w:start="0" w:endChars="0" w:end="0"/>
        <w:textAlignment w:val="auto"/>
        <w:rPr>
          <w:rFonts w:ascii="黑体" w:hAnsi="黑体" w:eastAsia="黑体" w:cs="黑体" w:hint="eastAsia"/>
          <w:color w:val="000000"/>
          <w:kern w:val="0"/>
          <w:sz w:val="32"/>
          <w:szCs w:val="22"/>
        </w:rPr>
      </w:pPr>
      <w:r>
        <w:rPr>
          <w:rFonts w:ascii="黑体" w:hAnsi="黑体" w:cs="黑体" w:eastAsia="黑体"/>
          <w:color w:val="000000"/>
          <w:kern w:val="0"/>
          <w:sz w:val="32"/>
          <w:szCs w:val="22"/>
        </w:rPr>
        <w:t>第</w:t>
      </w:r>
      <w:r>
        <w:rPr>
          <w:rFonts w:ascii="黑体" w:hAnsi="黑体" w:cs="黑体" w:hint="eastAsia" w:eastAsia="黑体"/>
          <w:color w:val="000000"/>
          <w:kern w:val="0"/>
          <w:sz w:val="32"/>
          <w:szCs w:val="22"/>
        </w:rPr>
        <w:t>三十八</w:t>
      </w:r>
      <w:r>
        <w:rPr>
          <w:rFonts w:ascii="黑体" w:hAnsi="黑体" w:cs="黑体" w:eastAsia="黑体"/>
          <w:color w:val="000000"/>
          <w:kern w:val="0"/>
          <w:sz w:val="32"/>
          <w:szCs w:val="22"/>
        </w:rPr>
        <w:t xml:space="preserve">条  </w:t>
      </w:r>
      <w:r>
        <w:rPr>
          <w:rFonts w:ascii="仿宋" w:hAnsi="仿宋" w:cs="仿宋" w:hint="eastAsia" w:eastAsia="仿宋"/>
          <w:color w:val="000000"/>
          <w:kern w:val="0"/>
          <w:sz w:val="32"/>
          <w:szCs w:val="22"/>
        </w:rPr>
        <w:t>违反本条例规定，水利工程未经验收或者验收不合格，进行后续施工或者擅自投入运行使用的，由水行政主管部门责令改正，可以处一万元以上十万元以下罚款。</w:t>
      </w:r>
    </w:p>
    <w:p>
      <w:pPr>
        <w:pStyle w:val="Normal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第三十九条  </w:t>
      </w:r>
      <w:r>
        <w:rPr>
          <w:rFonts w:ascii="仿宋" w:hAnsi="仿宋" w:cs="仿宋" w:hint="eastAsia" w:eastAsia="仿宋"/>
          <w:color w:val="000000"/>
          <w:sz w:val="32"/>
          <w:szCs w:val="32"/>
        </w:rPr>
        <w:t>违反本条例规定，施工单位在施工中偷工减料的，或者不按照工程设计图纸或者施工技术标准施工的，责令改正，处工程合同价款百分之二以上百分之四以下的罚款；造成建设工程质量不符合规定的质量标准的，负责返工、修理，并赔偿因此造成的损失；情节严重的，责令停业整顿，降低资质等级或者吊销资质证书。</w:t>
      </w:r>
    </w:p>
    <w:p>
      <w:pPr>
        <w:pStyle w:val="Normal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kern w:val="0"/>
          <w:sz w:val="32"/>
          <w:szCs w:val="22"/>
        </w:rPr>
      </w:pPr>
      <w:r>
        <w:rPr>
          <w:rFonts w:ascii="黑体" w:hAnsi="黑体" w:cs="黑体" w:hint="eastAsia" w:eastAsia="黑体"/>
          <w:kern w:val="0"/>
          <w:sz w:val="32"/>
          <w:szCs w:val="22"/>
        </w:rPr>
        <w:t xml:space="preserve">第四十条  </w:t>
      </w:r>
      <w:r>
        <w:rPr>
          <w:rFonts w:ascii="仿宋" w:hAnsi="仿宋" w:cs="仿宋" w:hint="eastAsia" w:eastAsia="仿宋"/>
          <w:kern w:val="0"/>
          <w:sz w:val="32"/>
          <w:szCs w:val="22"/>
        </w:rPr>
        <w:t>违反本条例规定，在水利工程保护范围内从事影响工程运行和危害工程安全的爆破、打井、采石、取土、挖砂、开矿、堆积大宗物料的，由水行政主管部门责令停止违法行为，恢复原状或者采取补救措施，并处一万元以上三万元以下罚款。</w:t>
      </w:r>
    </w:p>
    <w:p>
      <w:pPr>
        <w:pStyle w:val="Normal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kern w:val="0"/>
          <w:sz w:val="32"/>
          <w:szCs w:val="22"/>
        </w:rPr>
      </w:pPr>
      <w:r>
        <w:rPr>
          <w:rFonts w:ascii="黑体" w:hAnsi="黑体" w:cs="黑体" w:hint="eastAsia" w:eastAsia="黑体"/>
          <w:kern w:val="0"/>
          <w:sz w:val="32"/>
          <w:szCs w:val="22"/>
        </w:rPr>
        <w:t xml:space="preserve">第四十一条  </w:t>
      </w:r>
      <w:r>
        <w:rPr>
          <w:rFonts w:ascii="仿宋" w:hAnsi="仿宋" w:cs="仿宋" w:hint="eastAsia" w:eastAsia="仿宋"/>
          <w:kern w:val="0"/>
          <w:sz w:val="32"/>
          <w:szCs w:val="22"/>
        </w:rPr>
        <w:t>违反本条例规定，在水利工程管理范围内从事下列活动的，由水行政主管部门责令停止违法行为，恢复原状或者采取补救措施，并按照下列规定处罚：</w:t>
      </w:r>
    </w:p>
    <w:p>
      <w:pPr>
        <w:pStyle w:val="Normal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kern w:val="0"/>
          <w:sz w:val="32"/>
          <w:szCs w:val="22"/>
        </w:rPr>
      </w:pPr>
      <w:r>
        <w:rPr>
          <w:rFonts w:ascii="仿宋" w:hAnsi="仿宋" w:cs="仿宋" w:hint="eastAsia" w:eastAsia="仿宋"/>
          <w:kern w:val="0"/>
          <w:sz w:val="32"/>
          <w:szCs w:val="22"/>
        </w:rPr>
        <w:t>（一）爆破、打井、采石、取土、挖砂、开矿、堆积大宗物料的，处三万元以上五万元以下罚款；</w:t>
      </w:r>
    </w:p>
    <w:p>
      <w:pPr>
        <w:pStyle w:val="Normal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kern w:val="0"/>
          <w:sz w:val="32"/>
          <w:szCs w:val="22"/>
        </w:rPr>
      </w:pPr>
      <w:r>
        <w:rPr>
          <w:rFonts w:ascii="仿宋" w:hAnsi="仿宋" w:cs="仿宋" w:hint="eastAsia" w:eastAsia="仿宋"/>
          <w:kern w:val="0"/>
          <w:sz w:val="32"/>
          <w:szCs w:val="22"/>
        </w:rPr>
        <w:t>（二）倾倒土、石、矿渣等废弃物，堆放杂物或者掩埋污染水体的，处一万元以上三万元以下罚款；</w:t>
      </w:r>
    </w:p>
    <w:p>
      <w:pPr>
        <w:pStyle w:val="Normal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kern w:val="0"/>
          <w:sz w:val="32"/>
          <w:szCs w:val="22"/>
        </w:rPr>
      </w:pPr>
      <w:r>
        <w:rPr>
          <w:rFonts w:ascii="仿宋" w:hAnsi="仿宋" w:cs="仿宋" w:hint="eastAsia" w:eastAsia="仿宋"/>
          <w:kern w:val="0"/>
          <w:sz w:val="32"/>
          <w:szCs w:val="22"/>
        </w:rPr>
        <w:t>（三）兴建影响水利工程安全与正常运行的建筑物、构筑物的，处五万元以上十万元以下罚款；</w:t>
      </w:r>
    </w:p>
    <w:p>
      <w:pPr>
        <w:pStyle w:val="Normal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kern w:val="0"/>
          <w:sz w:val="32"/>
          <w:szCs w:val="22"/>
        </w:rPr>
      </w:pPr>
      <w:r>
        <w:rPr>
          <w:rFonts w:ascii="仿宋" w:hAnsi="仿宋" w:cs="仿宋" w:hint="eastAsia" w:eastAsia="仿宋"/>
          <w:kern w:val="0"/>
          <w:sz w:val="32"/>
          <w:szCs w:val="22"/>
        </w:rPr>
        <w:t>（四）开垦造地、修建池塘的，处一万元以上二万元以下罚款。</w:t>
      </w:r>
    </w:p>
    <w:p>
      <w:pPr>
        <w:pStyle w:val="Normal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kern w:val="0"/>
          <w:sz w:val="32"/>
          <w:szCs w:val="22"/>
        </w:rPr>
      </w:pPr>
      <w:r>
        <w:rPr>
          <w:rFonts w:ascii="黑体" w:hAnsi="黑体" w:cs="黑体" w:hint="eastAsia" w:eastAsia="黑体"/>
          <w:kern w:val="0"/>
          <w:sz w:val="32"/>
          <w:szCs w:val="22"/>
        </w:rPr>
        <w:t xml:space="preserve">第四十二条  </w:t>
      </w:r>
      <w:r>
        <w:rPr>
          <w:rFonts w:ascii="仿宋" w:hAnsi="仿宋" w:cs="仿宋" w:hint="eastAsia" w:eastAsia="仿宋"/>
          <w:kern w:val="0"/>
          <w:sz w:val="32"/>
          <w:szCs w:val="22"/>
        </w:rPr>
        <w:t>违反本条例规定，有下列情形之一的，由水行政主管部门责令停止违法行为，恢复原状或者采取补救措施，并按照下列规定处罚：</w:t>
      </w:r>
    </w:p>
    <w:p>
      <w:pPr>
        <w:pStyle w:val="Normal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kern w:val="0"/>
          <w:sz w:val="32"/>
          <w:szCs w:val="22"/>
        </w:rPr>
      </w:pPr>
      <w:r>
        <w:rPr>
          <w:rFonts w:ascii="仿宋" w:hAnsi="仿宋" w:cs="仿宋" w:hint="eastAsia" w:eastAsia="仿宋"/>
          <w:kern w:val="0"/>
          <w:sz w:val="32"/>
          <w:szCs w:val="22"/>
        </w:rPr>
        <w:t xml:space="preserve">（一）侵占、拆除、损毁水利工程设施的，处一万元以上三万元以下罚款； </w:t>
      </w:r>
    </w:p>
    <w:p>
      <w:pPr>
        <w:pStyle w:val="Normal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kern w:val="0"/>
          <w:sz w:val="32"/>
          <w:szCs w:val="22"/>
        </w:rPr>
      </w:pPr>
      <w:r>
        <w:rPr>
          <w:rFonts w:ascii="仿宋" w:hAnsi="仿宋" w:cs="仿宋" w:hint="eastAsia" w:eastAsia="仿宋"/>
          <w:kern w:val="0"/>
          <w:sz w:val="32"/>
          <w:szCs w:val="22"/>
        </w:rPr>
        <w:t>（二）擅自蓄水、引水、放水、截流、堵塞的，处一万元以上三万元以下罚款；</w:t>
      </w:r>
    </w:p>
    <w:p>
      <w:pPr>
        <w:pStyle w:val="Normal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kern w:val="0"/>
          <w:sz w:val="32"/>
          <w:szCs w:val="22"/>
        </w:rPr>
      </w:pPr>
      <w:r>
        <w:rPr>
          <w:rFonts w:ascii="仿宋" w:hAnsi="仿宋" w:cs="仿宋" w:hint="eastAsia" w:eastAsia="仿宋"/>
          <w:kern w:val="0"/>
          <w:sz w:val="32"/>
          <w:szCs w:val="22"/>
        </w:rPr>
        <w:t>（三）移动、覆盖、涂改、损毁界桩、标识牌等保护标志和安全警示标志的，处二千元罚款。</w:t>
      </w:r>
    </w:p>
    <w:p>
      <w:pPr>
        <w:pStyle w:val="Normal"/>
        <w:keepNext w:val="false"/>
        <w:keepLines w:val="false"/>
        <w:pageBreakBefore w:val="false"/>
        <w:numPr>
          <w:ilvl w:val="0"/>
          <w:numId w:val="0"/>
        </w:numPr>
        <w:kinsoku w:val="true"/>
        <w:overflowPunct w:val="true"/>
        <w:autoSpaceDE w:val="true"/>
        <w:bidi w:val="0"/>
        <w:spacing w:lineRule="exact" w:line="578"/>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第四十三条  </w:t>
      </w:r>
      <w:r>
        <w:rPr>
          <w:rFonts w:ascii="仿宋" w:hAnsi="仿宋" w:cs="仿宋" w:hint="eastAsia" w:eastAsia="仿宋"/>
          <w:color w:val="000000"/>
          <w:sz w:val="32"/>
          <w:szCs w:val="32"/>
        </w:rPr>
        <w:t>违反本条例规定，水行政主管部门以及相关监管部门、水利工程管理单位及其工作人员有下列情形之一的，由所在单位、上级主管部门责令改正；情节严重的，依法给予行政处分：</w:t>
      </w:r>
    </w:p>
    <w:p>
      <w:pPr>
        <w:pStyle w:val="Normal"/>
        <w:keepNext w:val="false"/>
        <w:keepLines w:val="false"/>
        <w:pageBreakBefore w:val="false"/>
        <w:numPr>
          <w:ilvl w:val="0"/>
          <w:numId w:val="0"/>
        </w:numPr>
        <w:kinsoku w:val="true"/>
        <w:overflowPunct w:val="true"/>
        <w:autoSpaceDE w:val="true"/>
        <w:bidi w:val="0"/>
        <w:spacing w:lineRule="exact" w:line="578"/>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（一）对破坏水利工程违法行为的举报未依法查处；</w:t>
      </w:r>
    </w:p>
    <w:p>
      <w:pPr>
        <w:pStyle w:val="Normal"/>
        <w:keepNext w:val="false"/>
        <w:keepLines w:val="false"/>
        <w:pageBreakBefore w:val="false"/>
        <w:numPr>
          <w:ilvl w:val="0"/>
          <w:numId w:val="0"/>
        </w:numPr>
        <w:kinsoku w:val="true"/>
        <w:overflowPunct w:val="true"/>
        <w:autoSpaceDE w:val="true"/>
        <w:bidi w:val="0"/>
        <w:spacing w:lineRule="exact" w:line="578"/>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（二）发现水利工程安全隐患未及时采取措施或者报告；</w:t>
      </w:r>
    </w:p>
    <w:p>
      <w:pPr>
        <w:pStyle w:val="Normal"/>
        <w:keepNext w:val="false"/>
        <w:keepLines w:val="false"/>
        <w:pageBreakBefore w:val="false"/>
        <w:numPr>
          <w:ilvl w:val="0"/>
          <w:numId w:val="0"/>
        </w:numPr>
        <w:kinsoku w:val="true"/>
        <w:overflowPunct w:val="true"/>
        <w:autoSpaceDE w:val="true"/>
        <w:bidi w:val="0"/>
        <w:spacing w:lineRule="exact" w:line="578"/>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（三）擅自改变水利工程的设计和使用功能；</w:t>
      </w:r>
    </w:p>
    <w:p>
      <w:pPr>
        <w:pStyle w:val="Normal"/>
        <w:keepNext w:val="false"/>
        <w:keepLines w:val="false"/>
        <w:pageBreakBefore w:val="false"/>
        <w:numPr>
          <w:ilvl w:val="0"/>
          <w:numId w:val="0"/>
        </w:numPr>
        <w:kinsoku w:val="true"/>
        <w:overflowPunct w:val="true"/>
        <w:autoSpaceDE w:val="true"/>
        <w:bidi w:val="0"/>
        <w:spacing w:lineRule="exact" w:line="578"/>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（四）未按照有关规定对相关单位进行监督检查或者发现问题未及时处理；</w:t>
      </w:r>
    </w:p>
    <w:p>
      <w:pPr>
        <w:pStyle w:val="Normal"/>
        <w:keepNext w:val="false"/>
        <w:keepLines w:val="false"/>
        <w:pageBreakBefore w:val="false"/>
        <w:numPr>
          <w:ilvl w:val="0"/>
          <w:numId w:val="0"/>
        </w:numPr>
        <w:kinsoku w:val="true"/>
        <w:overflowPunct w:val="true"/>
        <w:autoSpaceDE w:val="true"/>
        <w:bidi w:val="0"/>
        <w:spacing w:lineRule="exact" w:line="578"/>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 xml:space="preserve">（五）水利工程管理单位未履行运行维护和安全管理职责； </w:t>
      </w:r>
    </w:p>
    <w:p>
      <w:pPr>
        <w:pStyle w:val="Normal"/>
        <w:keepNext w:val="false"/>
        <w:keepLines w:val="false"/>
        <w:pageBreakBefore w:val="false"/>
        <w:numPr>
          <w:ilvl w:val="0"/>
          <w:numId w:val="0"/>
        </w:numPr>
        <w:kinsoku w:val="true"/>
        <w:overflowPunct w:val="true"/>
        <w:autoSpaceDE w:val="true"/>
        <w:bidi w:val="0"/>
        <w:spacing w:lineRule="exact" w:line="578"/>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（六）其他玩忽职守、滥用职权、徇私舞弊或者不作为的行为。</w:t>
      </w:r>
    </w:p>
    <w:p>
      <w:pPr>
        <w:pStyle w:val="Normal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仿宋" w:hAnsi="仿宋" w:eastAsia="仿宋" w:cs="仿宋" w:hint="eastAsia"/>
          <w:kern w:val="0"/>
          <w:sz w:val="32"/>
          <w:szCs w:val="22"/>
        </w:rPr>
      </w:pPr>
      <w:r>
        <w:rPr>
          <w:rFonts w:ascii="黑体" w:hAnsi="黑体" w:cs="黑体" w:hint="eastAsia" w:eastAsia="黑体"/>
          <w:kern w:val="0"/>
          <w:sz w:val="32"/>
          <w:szCs w:val="22"/>
        </w:rPr>
        <w:t xml:space="preserve">第四十四条  </w:t>
      </w:r>
      <w:r>
        <w:rPr>
          <w:rFonts w:ascii="仿宋" w:hAnsi="仿宋" w:cs="仿宋" w:hint="eastAsia" w:eastAsia="仿宋"/>
          <w:kern w:val="0"/>
          <w:sz w:val="32"/>
          <w:szCs w:val="22"/>
        </w:rPr>
        <w:t>违反本条例规定，涉嫌犯罪的，依法移送有关机关处理。</w:t>
      </w:r>
    </w:p>
    <w:p>
      <w:pPr>
        <w:pStyle w:val="NormalNew"/>
        <w:keepNext w:val="false"/>
        <w:keepLines w:val="false"/>
        <w:pageBreakBefore w:val="false"/>
        <w:widowControl w:val="false"/>
        <w:kinsoku w:val="true"/>
        <w:overflowPunct w:val="true"/>
        <w:autoSpaceDE w:val="true"/>
        <w:bidi w:val="0"/>
        <w:snapToGrid w:val="true"/>
        <w:spacing w:lineRule="exact" w:line="578" w:before="0" w:after="0"/>
        <w:ind w:firstLineChars="0" w:firstLine="0" w:startChars="0" w:start="0" w:endChars="0" w:end="0"/>
        <w:jc w:val="center"/>
        <w:textAlignment w:val="auto"/>
        <w:rPr>
          <w:rFonts w:ascii="黑体" w:hAnsi="黑体" w:eastAsia="黑体" w:cs="黑体" w:hint="eastAsia"/>
          <w:kern w:val="0"/>
          <w:sz w:val="32"/>
          <w:szCs w:val="22"/>
        </w:rPr>
      </w:pPr>
      <w:r>
        <w:rPr>
          <w:rFonts w:eastAsia="黑体" w:cs="黑体" w:hint="eastAsia" w:ascii="黑体" w:hAnsi="黑体"/>
          <w:kern w:val="0"/>
          <w:sz w:val="32"/>
          <w:szCs w:val="22"/>
        </w:rPr>
      </w:r>
    </w:p>
    <w:p>
      <w:pPr>
        <w:pStyle w:val="NormalNew"/>
        <w:keepNext w:val="false"/>
        <w:keepLines w:val="false"/>
        <w:pageBreakBefore w:val="false"/>
        <w:widowControl w:val="false"/>
        <w:kinsoku w:val="true"/>
        <w:overflowPunct w:val="true"/>
        <w:autoSpaceDE w:val="true"/>
        <w:bidi w:val="0"/>
        <w:snapToGrid w:val="true"/>
        <w:spacing w:lineRule="exact" w:line="578" w:before="0" w:after="0"/>
        <w:ind w:firstLineChars="0" w:firstLine="0" w:startChars="0" w:start="0" w:endChars="0" w:end="0"/>
        <w:jc w:val="center"/>
        <w:textAlignment w:val="auto"/>
        <w:rPr>
          <w:rFonts w:ascii="黑体" w:hAnsi="黑体" w:eastAsia="黑体" w:cs="黑体" w:hint="eastAsia"/>
          <w:kern w:val="0"/>
          <w:sz w:val="32"/>
          <w:szCs w:val="22"/>
        </w:rPr>
      </w:pPr>
      <w:r>
        <w:rPr>
          <w:rFonts w:ascii="黑体" w:hAnsi="黑体" w:cs="黑体" w:hint="eastAsia" w:eastAsia="黑体"/>
          <w:kern w:val="0"/>
          <w:sz w:val="32"/>
          <w:szCs w:val="22"/>
        </w:rPr>
        <w:t>第六章  附    则</w:t>
      </w:r>
    </w:p>
    <w:p>
      <w:pPr>
        <w:pStyle w:val="Normal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rFonts w:ascii="黑体" w:hAnsi="黑体" w:eastAsia="黑体" w:cs="黑体" w:hint="eastAsia"/>
          <w:kern w:val="0"/>
          <w:sz w:val="32"/>
          <w:szCs w:val="22"/>
        </w:rPr>
      </w:pPr>
      <w:r>
        <w:rPr>
          <w:rFonts w:eastAsia="黑体" w:cs="黑体" w:hint="eastAsia" w:ascii="黑体" w:hAnsi="黑体"/>
          <w:kern w:val="0"/>
          <w:sz w:val="32"/>
          <w:szCs w:val="22"/>
        </w:rPr>
      </w:r>
    </w:p>
    <w:p>
      <w:pPr>
        <w:pStyle w:val="NormalNew"/>
        <w:keepNext w:val="false"/>
        <w:keepLines w:val="false"/>
        <w:pageBreakBefore w:val="false"/>
        <w:widowControl w:val="false"/>
        <w:kinsoku w:val="true"/>
        <w:overflowPunct w:val="true"/>
        <w:autoSpaceDE w:val="true"/>
        <w:bidi w:val="0"/>
        <w:snapToGrid w:val="true"/>
        <w:spacing w:lineRule="exact" w:line="578" w:before="0" w:after="0"/>
        <w:ind w:firstLineChars="198" w:startChars="0" w:start="0" w:endChars="0" w:end="0"/>
        <w:textAlignment w:val="auto"/>
        <w:rPr/>
      </w:pPr>
      <w:r>
        <w:rPr>
          <w:rFonts w:ascii="黑体" w:hAnsi="黑体" w:cs="黑体" w:hint="eastAsia" w:eastAsia="黑体"/>
          <w:kern w:val="0"/>
          <w:sz w:val="32"/>
          <w:szCs w:val="22"/>
        </w:rPr>
        <w:t xml:space="preserve">第四十五条  </w:t>
      </w:r>
      <w:r>
        <w:rPr>
          <w:rFonts w:ascii="仿宋" w:hAnsi="仿宋" w:cs="仿宋" w:hint="eastAsia" w:eastAsia="仿宋"/>
          <w:kern w:val="0"/>
          <w:sz w:val="32"/>
          <w:szCs w:val="22"/>
        </w:rPr>
        <w:t>本条例自</w:t>
      </w:r>
      <w:r>
        <w:rPr>
          <w:rFonts w:eastAsia="仿宋" w:cs="仿宋" w:hint="eastAsia" w:ascii="仿宋" w:hAnsi="仿宋"/>
          <w:kern w:val="0"/>
          <w:sz w:val="32"/>
          <w:szCs w:val="22"/>
        </w:rPr>
        <w:t>2021</w:t>
      </w:r>
      <w:r>
        <w:rPr>
          <w:rFonts w:ascii="仿宋" w:hAnsi="仿宋" w:cs="仿宋" w:hint="eastAsia" w:eastAsia="仿宋"/>
          <w:kern w:val="0"/>
          <w:sz w:val="32"/>
          <w:szCs w:val="22"/>
        </w:rPr>
        <w:t>年</w:t>
      </w:r>
      <w:r>
        <w:rPr>
          <w:rFonts w:eastAsia="仿宋" w:cs="仿宋" w:hint="eastAsia" w:ascii="仿宋" w:hAnsi="仿宋"/>
          <w:kern w:val="0"/>
          <w:sz w:val="32"/>
          <w:szCs w:val="22"/>
        </w:rPr>
        <w:t>8</w:t>
      </w:r>
      <w:r>
        <w:rPr>
          <w:rFonts w:ascii="仿宋" w:hAnsi="仿宋" w:cs="仿宋" w:hint="eastAsia" w:eastAsia="仿宋"/>
          <w:kern w:val="0"/>
          <w:sz w:val="32"/>
          <w:szCs w:val="22"/>
        </w:rPr>
        <w:t>月</w:t>
      </w:r>
      <w:r>
        <w:rPr>
          <w:rFonts w:eastAsia="仿宋" w:cs="仿宋" w:hint="eastAsia" w:ascii="仿宋" w:hAnsi="仿宋"/>
          <w:kern w:val="0"/>
          <w:sz w:val="32"/>
          <w:szCs w:val="22"/>
        </w:rPr>
        <w:t>1</w:t>
      </w:r>
      <w:r>
        <w:rPr>
          <w:rFonts w:ascii="仿宋" w:hAnsi="仿宋" w:cs="仿宋" w:hint="eastAsia" w:eastAsia="仿宋"/>
          <w:kern w:val="0"/>
          <w:sz w:val="32"/>
          <w:szCs w:val="22"/>
        </w:rPr>
        <w:t>日起施行。</w:t>
      </w:r>
    </w:p>
    <w:p>
      <w:pPr>
        <w:pStyle w:val="Normal"/>
        <w:keepNext w:val="false"/>
        <w:keepLines w:val="false"/>
        <w:pageBreakBefore w:val="false"/>
        <w:kinsoku w:val="true"/>
        <w:overflowPunct w:val="true"/>
        <w:autoSpaceDE w:val="true"/>
        <w:bidi w:val="0"/>
        <w:spacing w:lineRule="exact" w:line="578"/>
        <w:ind w:firstLineChars="200" w:startChars="0" w:start="0" w:endChars="0" w:end="0"/>
        <w:textAlignment w:val="auto"/>
        <w:rPr>
          <w:rFonts w:ascii="仿宋" w:hAnsi="仿宋" w:eastAsia="仿宋" w:cs="仿宋" w:hint="eastAsia"/>
          <w:kern w:val="0"/>
          <w:sz w:val="32"/>
          <w:szCs w:val="22"/>
        </w:rPr>
      </w:pPr>
      <w:r>
        <w:rPr>
          <w:rFonts w:eastAsia="仿宋" w:cs="仿宋" w:hint="eastAsia" w:ascii="仿宋" w:hAnsi="仿宋"/>
          <w:kern w:val="0"/>
          <w:sz w:val="32"/>
          <w:szCs w:val="22"/>
        </w:rPr>
      </w:r>
    </w:p>
    <w:sectPr>
      <w:footerReference w:type="default" r:id="rId2"/>
      <w:type w:val="nextPage"/>
      <w:pgSz w:w="11906" w:h="16838"/>
      <w:pgMar w:left="1587" w:right="1474" w:gutter="0" w:header="0" w:top="2098" w:footer="1587" w:bottom="1984"/>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altName w:val="仿宋"/>
    <w:charset w:val="86"/>
    <w:family w:val="auto"/>
    <w:pitch w:val="default"/>
  </w:font>
  <w:font w:name="Liberation Sans">
    <w:altName w:val="Arial"/>
    <w:charset w:val="01" w:characterSet="utf-8"/>
    <w:family w:val="swiss"/>
    <w:pitch w:val="variable"/>
  </w:font>
  <w:font w:name="宋体">
    <w:charset w:val="86"/>
    <w:family w:val="auto"/>
    <w:pitch w:val="default"/>
  </w:font>
  <w:font w:name="Calibri">
    <w:charset w:val="00" w:characterSet="windows-1252"/>
    <w:family w:val="swiss"/>
    <w:pitch w:val="default"/>
  </w:font>
  <w:font w:name="Times New Roman">
    <w:charset w:val="01"/>
    <w:family w:val="roman"/>
    <w:pitch w:val="default"/>
  </w:font>
  <w:font w:name="楷体">
    <w:charset w:val="86"/>
    <w:family w:val="auto"/>
    <w:pitch w:val="default"/>
  </w:font>
  <w:font w:name="黑体">
    <w:charset w:val="86"/>
    <w:family w:val="auto"/>
    <w:pitch w:val="default"/>
  </w:font>
  <w:font w:name="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left" w:pos="444" w:leader="none"/>
      </w:tabs>
      <w:rPr>
        <w:rFonts w:hint="eastAsia"/>
      </w:rPr>
    </w:pPr>
    <w:r>
      <w:rPr>
        <w:rFonts w:hint="eastAsia"/>
      </w:rPr>
      <w:tab/>
    </w:r>
    <w:r>
      <mc:AlternateContent>
        <mc:Choice Requires="wps">
          <w:drawing>
            <wp:anchor distT="0" distB="0" distL="114935" distR="0" simplePos="0" relativeHeight="15" behindDoc="1" locked="0" layoutInCell="0" allowOverlap="1">
              <wp:simplePos x="0" y="0"/>
              <wp:positionH relativeFrom="margin">
                <wp:align>outside</wp:align>
              </wp:positionH>
              <wp:positionV relativeFrom="paragraph">
                <wp:posOffset>635</wp:posOffset>
              </wp:positionV>
              <wp:extent cx="15875" cy="162560"/>
              <wp:effectExtent l="0" t="0" r="0" b="0"/>
              <wp:wrapNone/>
              <wp:docPr id="1" name="Frame2"/>
              <a:graphic xmlns:a="http://schemas.openxmlformats.org/drawingml/2006/main">
                <a:graphicData uri="http://schemas.microsoft.com/office/word/2010/wordprocessingShape">
                  <wps:wsp>
                    <wps:cNvSpPr txBox="1"/>
                    <wps:spPr>
                      <a:xfrm>
                        <a:off x="0" y="0"/>
                        <a:ext cx="15875" cy="162560"/>
                      </a:xfrm>
                      <a:prstGeom prst="rect"/>
                      <a:solidFill>
                        <a:srgbClr val="FFFFFF">
                          <a:alpha val="0"/>
                        </a:srgbClr>
                      </a:solidFill>
                    </wps:spPr>
                    <wps:txbx>
                      <w:txbxContent>
                        <w:p>
                          <w:pPr>
                            <w:pStyle w:val="Footer"/>
                            <w:rPr>
                              <w:rFonts w:eastAsia="仿宋_GB2312;仿宋" w:hint="eastAsia"/>
                            </w:rPr>
                          </w:pPr>
                          <w:r>
                            <w:rPr>
                              <w:rFonts w:eastAsia="仿宋_GB2312;仿宋" w:hint="eastAsia"/>
                            </w:rPr>
                          </w:r>
                        </w:p>
                      </w:txbxContent>
                    </wps:txbx>
                    <wps:bodyPr anchor="t" lIns="635" tIns="635" rIns="635" bIns="635">
                      <a:spAutoFit/>
                    </wps:bodyPr>
                  </wps:wsp>
                </a:graphicData>
              </a:graphic>
            </wp:anchor>
          </w:drawing>
        </mc:Choice>
        <mc:Fallback>
          <w:pict>
            <v:rect fillcolor="#FFFFFF" style="position:absolute;rotation:-0;width:1.25pt;height:12.8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rFonts w:eastAsia="仿宋_GB2312;仿宋" w:hint="eastAsia"/>
                      </w:rPr>
                    </w:pPr>
                    <w:r>
                      <w:rPr>
                        <w:rFonts w:eastAsia="仿宋_GB2312;仿宋" w:hint="eastAsia"/>
                      </w:rPr>
                    </w:r>
                  </w:p>
                </w:txbxContent>
              </v:textbox>
              <w10:wrap type="none"/>
            </v:rect>
          </w:pict>
        </mc:Fallback>
      </mc:AlternateContent>
    </w:r>
    <w:r>
      <mc:AlternateContent>
        <mc:Choice Requires="wps">
          <w:drawing>
            <wp:anchor distT="0" distB="0" distL="114935" distR="0" simplePos="0" relativeHeight="29" behindDoc="1" locked="0" layoutInCell="0" allowOverlap="1">
              <wp:simplePos x="0" y="0"/>
              <wp:positionH relativeFrom="margin">
                <wp:align>outside</wp:align>
              </wp:positionH>
              <wp:positionV relativeFrom="paragraph">
                <wp:posOffset>-21590</wp:posOffset>
              </wp:positionV>
              <wp:extent cx="663575" cy="504190"/>
              <wp:effectExtent l="0" t="0" r="0" b="0"/>
              <wp:wrapNone/>
              <wp:docPr id="2" name="Frame1"/>
              <a:graphic xmlns:a="http://schemas.openxmlformats.org/drawingml/2006/main">
                <a:graphicData uri="http://schemas.microsoft.com/office/word/2010/wordprocessingShape">
                  <wps:wsp>
                    <wps:cNvSpPr txBox="1"/>
                    <wps:spPr>
                      <a:xfrm>
                        <a:off x="0" y="0"/>
                        <a:ext cx="663575" cy="504190"/>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ind w:firstLineChars="0" w:firstLine="0" w:startChars="100" w:endChars="100"/>
                            <w:textAlignment w:val="auto"/>
                            <w:rPr/>
                          </w:pPr>
                          <w:r>
                            <w:rPr>
                              <w:rFonts w:eastAsia="仿宋" w:cs="仿宋" w:hint="eastAsia" w:ascii="仿宋" w:hAnsi="仿宋"/>
                              <w:sz w:val="28"/>
                              <w:szCs w:val="28"/>
                            </w:rPr>
                            <w:t xml:space="preserve">— </w:t>
                          </w:r>
                          <w:r>
                            <w:rPr>
                              <w:rFonts w:eastAsia="宋体" w:cs="Times New Roman" w:ascii="Times New Roman" w:hAnsi="Times New Roman"/>
                              <w:sz w:val="28"/>
                              <w:szCs w:val="28"/>
                            </w:rPr>
                            <w:fldChar w:fldCharType="begin"/>
                          </w:r>
                          <w:r>
                            <w:rPr>
                              <w:rFonts w:eastAsia="宋体" w:cs="Times New Roman" w:ascii="Times New Roman" w:hAnsi="Times New Roman"/>
                              <w:sz w:val="28"/>
                              <w:szCs w:val="28"/>
                            </w:rPr>
                            <w:instrText xml:space="preserve"> PAGE </w:instrText>
                          </w:r>
                          <w:r>
                            <w:rPr>
                              <w:rFonts w:eastAsia="宋体" w:cs="Times New Roman" w:ascii="Times New Roman" w:hAnsi="Times New Roman"/>
                              <w:sz w:val="28"/>
                              <w:szCs w:val="28"/>
                            </w:rPr>
                            <w:fldChar w:fldCharType="separate"/>
                          </w:r>
                          <w:r>
                            <w:rPr>
                              <w:rFonts w:eastAsia="宋体" w:cs="Times New Roman" w:ascii="Times New Roman" w:hAnsi="Times New Roman"/>
                              <w:sz w:val="28"/>
                              <w:szCs w:val="28"/>
                            </w:rPr>
                            <w:t>14</w:t>
                          </w:r>
                          <w:r>
                            <w:rPr>
                              <w:rFonts w:eastAsia="宋体" w:cs="Times New Roman" w:ascii="Times New Roman" w:hAnsi="Times New Roman"/>
                              <w:sz w:val="28"/>
                              <w:szCs w:val="28"/>
                            </w:rPr>
                            <w:fldChar w:fldCharType="end"/>
                          </w:r>
                          <w:r>
                            <w:rPr>
                              <w:rFonts w:eastAsia="宋体" w:cs="Times New Roman" w:hint="eastAsia" w:ascii="Times New Roman" w:hAnsi="Times New Roman"/>
                              <w:sz w:val="28"/>
                              <w:szCs w:val="28"/>
                            </w:rPr>
                            <w:t xml:space="preserve"> </w:t>
                          </w:r>
                          <w:r>
                            <w:rPr>
                              <w:rFonts w:eastAsia="仿宋" w:cs="仿宋" w:hint="eastAsia" w:ascii="仿宋" w:hAnsi="仿宋"/>
                              <w:sz w:val="28"/>
                              <w:szCs w:val="28"/>
                            </w:rPr>
                            <w:t>—</w:t>
                          </w:r>
                        </w:p>
                      </w:txbxContent>
                    </wps:txbx>
                    <wps:bodyPr anchor="t" lIns="635" tIns="635" rIns="635" bIns="635">
                      <a:spAutoFit/>
                    </wps:bodyPr>
                  </wps:wsp>
                </a:graphicData>
              </a:graphic>
            </wp:anchor>
          </w:drawing>
        </mc:Choice>
        <mc:Fallback>
          <w:pict>
            <v:rect fillcolor="#FFFFFF" style="position:absolute;rotation:-0;width:52.25pt;height:39.7pt;mso-wrap-distance-left:9.05pt;mso-wrap-distance-right:0pt;mso-wrap-distance-top:0pt;mso-wrap-distance-bottom:0pt;margin-top:-1.7pt;mso-position-vertical-relative:text;margin-left:19.35pt;mso-position-horizontal:out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kinsoku w:val="true"/>
                      <w:overflowPunct w:val="true"/>
                      <w:autoSpaceDE w:val="true"/>
                      <w:bidi w:val="0"/>
                      <w:snapToGrid w:val="false"/>
                      <w:ind w:firstLineChars="0" w:firstLine="0" w:startChars="100" w:endChars="100"/>
                      <w:textAlignment w:val="auto"/>
                      <w:rPr/>
                    </w:pPr>
                    <w:r>
                      <w:rPr>
                        <w:rFonts w:eastAsia="仿宋" w:cs="仿宋" w:hint="eastAsia" w:ascii="仿宋" w:hAnsi="仿宋"/>
                        <w:sz w:val="28"/>
                        <w:szCs w:val="28"/>
                      </w:rPr>
                      <w:t xml:space="preserve">— </w:t>
                    </w:r>
                    <w:r>
                      <w:rPr>
                        <w:rFonts w:eastAsia="宋体" w:cs="Times New Roman" w:ascii="Times New Roman" w:hAnsi="Times New Roman"/>
                        <w:sz w:val="28"/>
                        <w:szCs w:val="28"/>
                      </w:rPr>
                      <w:fldChar w:fldCharType="begin"/>
                    </w:r>
                    <w:r>
                      <w:rPr>
                        <w:rFonts w:eastAsia="宋体" w:cs="Times New Roman" w:ascii="Times New Roman" w:hAnsi="Times New Roman"/>
                        <w:sz w:val="28"/>
                        <w:szCs w:val="28"/>
                      </w:rPr>
                      <w:instrText xml:space="preserve"> PAGE </w:instrText>
                    </w:r>
                    <w:r>
                      <w:rPr>
                        <w:rFonts w:eastAsia="宋体" w:cs="Times New Roman" w:ascii="Times New Roman" w:hAnsi="Times New Roman"/>
                        <w:sz w:val="28"/>
                        <w:szCs w:val="28"/>
                      </w:rPr>
                      <w:fldChar w:fldCharType="separate"/>
                    </w:r>
                    <w:r>
                      <w:rPr>
                        <w:rFonts w:eastAsia="宋体" w:cs="Times New Roman" w:ascii="Times New Roman" w:hAnsi="Times New Roman"/>
                        <w:sz w:val="28"/>
                        <w:szCs w:val="28"/>
                      </w:rPr>
                      <w:t>14</w:t>
                    </w:r>
                    <w:r>
                      <w:rPr>
                        <w:rFonts w:eastAsia="宋体" w:cs="Times New Roman" w:ascii="Times New Roman" w:hAnsi="Times New Roman"/>
                        <w:sz w:val="28"/>
                        <w:szCs w:val="28"/>
                      </w:rPr>
                      <w:fldChar w:fldCharType="end"/>
                    </w:r>
                    <w:r>
                      <w:rPr>
                        <w:rFonts w:eastAsia="宋体" w:cs="Times New Roman" w:hint="eastAsia" w:ascii="Times New Roman" w:hAnsi="Times New Roman"/>
                        <w:sz w:val="28"/>
                        <w:szCs w:val="28"/>
                      </w:rPr>
                      <w:t xml:space="preserve"> </w:t>
                    </w:r>
                    <w:r>
                      <w:rPr>
                        <w:rFonts w:eastAsia="仿宋" w:cs="仿宋" w:hint="eastAsia" w:ascii="仿宋" w:hAnsi="仿宋"/>
                        <w:sz w:val="28"/>
                        <w:szCs w:val="28"/>
                      </w:rPr>
                      <w:t>—</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5"/>
      <w:numFmt w:val="chineseCountingThousand"/>
      <w:suff w:val="space"/>
      <w:lvlText w:val="第%1章"/>
      <w:lvlJc w:val="start"/>
      <w:pPr>
        <w:tabs>
          <w:tab w:val="num" w:pos="0"/>
        </w:tabs>
        <w:ind w:start="0" w:hanging="0"/>
      </w:pPr>
      <w:rPr>
        <w:rFonts w:hint="eastAsi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仿宋_GB2312;仿宋" w:hAnsi="仿宋_GB2312;仿宋" w:eastAsia="仿宋_GB2312;仿宋" w:cs="仿宋_GB2312;仿宋"/>
      <w:color w:val="auto"/>
      <w:kern w:val="2"/>
      <w:sz w:val="32"/>
      <w:szCs w:val="32"/>
      <w:lang w:val="en-US" w:eastAsia="zh-CN" w:bidi="hi-IN"/>
    </w:rPr>
  </w:style>
  <w:style w:type="character" w:styleId="WW8Num1z0">
    <w:name w:val="WW8Num1z0"/>
    <w:qFormat/>
    <w:rPr>
      <w:rFonts w:hint="eastAsia"/>
    </w:rPr>
  </w:style>
  <w:style w:type="character" w:styleId="Style14">
    <w:name w:val="默认段落字体"/>
    <w:qFormat/>
    <w:rPr/>
  </w:style>
  <w:style w:type="character" w:styleId="PageNumber">
    <w:name w:val="page number"/>
    <w:basedOn w:val="Style14"/>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pPr>
    <w:rPr>
      <w:sz w:val="18"/>
    </w:rPr>
  </w:style>
  <w:style w:type="paragraph" w:styleId="Char1">
    <w:name w:val="Char1"/>
    <w:basedOn w:val="Normal"/>
    <w:qFormat/>
    <w:pPr/>
    <w:rPr/>
  </w:style>
  <w:style w:type="paragraph" w:styleId="NormalWeb">
    <w:name w:val="Normal (Web)"/>
    <w:basedOn w:val="Normal"/>
    <w:qFormat/>
    <w:pPr>
      <w:widowControl/>
      <w:spacing w:before="100" w:after="100"/>
      <w:jc w:val="start"/>
    </w:pPr>
    <w:rPr>
      <w:rFonts w:ascii="宋体" w:hAnsi="宋体" w:eastAsia="宋体" w:cs="宋体"/>
      <w:kern w:val="0"/>
      <w:sz w:val="24"/>
      <w:szCs w:val="24"/>
    </w:rPr>
  </w:style>
  <w:style w:type="paragraph" w:styleId="NewNew">
    <w:name w:val="正文 New New"/>
    <w:qFormat/>
    <w:pPr>
      <w:widowControl w:val="false"/>
      <w:bidi w:val="0"/>
      <w:jc w:val="both"/>
    </w:pPr>
    <w:rPr>
      <w:rFonts w:ascii="Calibri" w:hAnsi="Calibri" w:eastAsia="宋体" w:cs="黑体"/>
      <w:color w:val="auto"/>
      <w:kern w:val="2"/>
      <w:sz w:val="32"/>
      <w:szCs w:val="22"/>
      <w:lang w:val="en-US" w:eastAsia="zh-CN" w:bidi="hi-IN"/>
    </w:rPr>
  </w:style>
  <w:style w:type="paragraph" w:styleId="NewNewNewNewNewNewNewNewNewNewNewNewNewNewNewNewNewNewNewNewNewNewNewNewNewNewNewNewNewNewNewNewNewNewNewNewNewNewNewNewNewNewNewNewNewNewNewNewNewNewNewNewNewNewNewNewNewNewNewNewNewNewNe">
    <w:name w:val="正文 New New New New New New New New New New New New New New New New New New New New New New New New New New New New New New New New New New New New New New New New New New New New New New New New New New New New New New New New New New New New New New Ne"/>
    <w:basedOn w:val="NewNew"/>
    <w:qFormat/>
    <w:pPr>
      <w:keepNext w:val="false"/>
      <w:keepLines w:val="false"/>
      <w:widowControl w:val="false"/>
      <w:spacing w:before="0" w:after="0"/>
      <w:ind w:hanging="0" w:start="0" w:end="0"/>
      <w:jc w:val="both"/>
    </w:pPr>
    <w:rPr>
      <w:rFonts w:ascii="Calibri" w:hAnsi="Calibri" w:eastAsia="宋体" w:cs="Times New Roman"/>
      <w:kern w:val="2"/>
      <w:sz w:val="21"/>
      <w:szCs w:val="24"/>
    </w:rPr>
  </w:style>
  <w:style w:type="paragraph" w:styleId="NormalNew">
    <w:name w:val="Normal New"/>
    <w:qFormat/>
    <w:pPr>
      <w:widowControl w:val="false"/>
      <w:bidi w:val="0"/>
      <w:jc w:val="both"/>
    </w:pPr>
    <w:rPr>
      <w:rFonts w:ascii="Times New Roman" w:hAnsi="Times New Roman" w:eastAsia="宋体" w:cs="黑体" w:hint="eastAsia"/>
      <w:color w:val="auto"/>
      <w:kern w:val="2"/>
      <w:sz w:val="21"/>
      <w:szCs w:val="20"/>
      <w:lang w:val="en-US" w:eastAsia="zh-CN" w:bidi="hi-IN"/>
    </w:rPr>
  </w:style>
  <w:style w:type="paragraph" w:styleId="NormalNewNewNewNew">
    <w:name w:val="Normal New New New New"/>
    <w:qFormat/>
    <w:pPr>
      <w:widowControl w:val="false"/>
      <w:bidi w:val="0"/>
      <w:jc w:val="both"/>
    </w:pPr>
    <w:rPr>
      <w:rFonts w:ascii="Calibri" w:hAnsi="Calibri" w:eastAsia="宋体" w:cs="黑体" w:hint="eastAsia"/>
      <w:color w:val="auto"/>
      <w:kern w:val="2"/>
      <w:sz w:val="21"/>
      <w:szCs w:val="20"/>
      <w:lang w:val="en-US" w:eastAsia="zh-CN" w:bidi="hi-IN"/>
    </w:rPr>
  </w:style>
  <w:style w:type="paragraph" w:styleId="NewNewNewNew">
    <w:name w:val="正文 New New New New"/>
    <w:qFormat/>
    <w:pPr>
      <w:widowControl w:val="false"/>
      <w:bidi w:val="0"/>
      <w:jc w:val="both"/>
    </w:pPr>
    <w:rPr>
      <w:rFonts w:ascii="Times New Roman" w:hAnsi="Times New Roman" w:eastAsia="宋体" w:cs="黑体"/>
      <w:color w:val="auto"/>
      <w:kern w:val="2"/>
      <w:sz w:val="21"/>
      <w:szCs w:val="24"/>
      <w:lang w:val="en-US" w:eastAsia="zh-CN" w:bidi="hi-IN"/>
    </w:rPr>
  </w:style>
  <w:style w:type="paragraph" w:styleId="NormalNewNewNewNewNew">
    <w:name w:val="Normal New New New New New"/>
    <w:qFormat/>
    <w:pPr>
      <w:widowControl w:val="false"/>
      <w:bidi w:val="0"/>
      <w:jc w:val="both"/>
    </w:pPr>
    <w:rPr>
      <w:rFonts w:ascii="Times New Roman" w:hAnsi="Times New Roman" w:eastAsia="宋体" w:cs="黑体" w:hint="eastAsia"/>
      <w:color w:val="auto"/>
      <w:kern w:val="2"/>
      <w:sz w:val="21"/>
      <w:szCs w:val="20"/>
      <w:lang w:val="en-US" w:eastAsia="zh-CN" w:bidi="hi-IN"/>
    </w:rPr>
  </w:style>
  <w:style w:type="paragraph" w:styleId="NormalNewNew">
    <w:name w:val="Normal New New"/>
    <w:qFormat/>
    <w:pPr>
      <w:widowControl w:val="false"/>
      <w:bidi w:val="0"/>
      <w:jc w:val="both"/>
    </w:pPr>
    <w:rPr>
      <w:rFonts w:ascii="Times New Roman" w:hAnsi="Times New Roman" w:eastAsia="仿宋" w:cs="黑体" w:hint="eastAsia"/>
      <w:color w:val="auto"/>
      <w:kern w:val="2"/>
      <w:sz w:val="32"/>
      <w:szCs w:val="20"/>
      <w:lang w:val="en-US" w:eastAsia="zh-CN" w:bidi="hi-IN"/>
    </w:rPr>
  </w:style>
  <w:style w:type="paragraph" w:styleId="NormalNewNewNew">
    <w:name w:val="Normal New New New"/>
    <w:qFormat/>
    <w:pPr>
      <w:widowControl w:val="false"/>
      <w:bidi w:val="0"/>
      <w:jc w:val="both"/>
    </w:pPr>
    <w:rPr>
      <w:rFonts w:ascii="Calibri" w:hAnsi="Calibri" w:eastAsia="宋体" w:cs="Times New Roman" w:hint="eastAsia"/>
      <w:color w:val="auto"/>
      <w:kern w:val="2"/>
      <w:sz w:val="21"/>
      <w:szCs w:val="20"/>
      <w:lang w:val="en-US" w:eastAsia="zh-CN" w:bidi="hi-IN"/>
    </w:rPr>
  </w:style>
  <w:style w:type="paragraph" w:styleId="NewNewNew">
    <w:name w:val="正文 New New New"/>
    <w:qFormat/>
    <w:pPr>
      <w:widowControl w:val="false"/>
      <w:bidi w:val="0"/>
      <w:jc w:val="both"/>
    </w:pPr>
    <w:rPr>
      <w:rFonts w:ascii="Calibri" w:hAnsi="Calibri" w:eastAsia="宋体" w:cs="Times New Roman"/>
      <w:color w:val="auto"/>
      <w:kern w:val="2"/>
      <w:sz w:val="21"/>
      <w:szCs w:val="20"/>
      <w:lang w:val="en-US" w:eastAsia="zh-CN" w:bidi="hi-IN"/>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2880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2020-04-30T16:08:00Z</dcterms:created>
  <dc:creator>admin</dc:creator>
  <dc:description/>
  <dc:language>en-US</dc:language>
  <cp:lastModifiedBy>PC399</cp:lastModifiedBy>
  <cp:lastPrinted>2020-05-12T16:39:00Z</cp:lastPrinted>
  <dcterms:modified xsi:type="dcterms:W3CDTF">2021-08-11T13:59:16Z</dcterms:modified>
  <cp:revision>1</cp:revision>
  <dc:subject/>
  <dc:title>msc</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62A178C5692840E6895B8328BB1453EF</vt:lpwstr>
  </property>
  <property fmtid="{D5CDD505-2E9C-101B-9397-08002B2CF9AE}" pid="3" name="KSOProductBuildVer">
    <vt:lpwstr>2052-11.1.0.10667</vt:lpwstr>
  </property>
</Properties>
</file>