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5"/>
          <w:tab w:val="left" w:pos="320" w:leader="none"/>
          <w:tab w:val="left" w:pos="8480" w:leader="none"/>
          <w:tab w:val="left" w:pos="8640" w:leader="none"/>
        </w:tabs>
        <w:spacing w:lineRule="exact" w:line="640"/>
        <w:jc w:val="both"/>
        <w:rPr>
          <w:rFonts w:ascii="宋体" w:hAnsi="宋体" w:eastAsia="宋体" w:cs="宋体" w:hint="eastAsia"/>
          <w:bCs/>
          <w:sz w:val="32"/>
          <w:szCs w:val="32"/>
        </w:rPr>
      </w:pPr>
      <w:r>
        <w:rPr>
          <w:rFonts w:eastAsia="宋体" w:cs="宋体" w:hint="eastAsia" w:ascii="宋体" w:hAnsi="宋体"/>
          <w:bCs/>
          <w:sz w:val="32"/>
          <w:szCs w:val="32"/>
        </w:rPr>
      </w:r>
    </w:p>
    <w:p>
      <w:pPr>
        <w:pStyle w:val="Normal"/>
        <w:tabs>
          <w:tab w:val="clear" w:pos="425"/>
          <w:tab w:val="left" w:pos="320" w:leader="none"/>
          <w:tab w:val="left" w:pos="8480" w:leader="none"/>
          <w:tab w:val="left" w:pos="8640" w:leader="none"/>
        </w:tabs>
        <w:spacing w:lineRule="exact" w:line="640"/>
        <w:jc w:val="both"/>
        <w:rPr>
          <w:rFonts w:ascii="宋体" w:hAnsi="宋体" w:eastAsia="宋体" w:cs="宋体" w:hint="eastAsia"/>
          <w:bCs/>
          <w:sz w:val="32"/>
          <w:szCs w:val="32"/>
        </w:rPr>
      </w:pPr>
      <w:r>
        <w:rPr>
          <w:rFonts w:eastAsia="宋体" w:cs="宋体" w:hint="eastAsia" w:ascii="宋体" w:hAnsi="宋体"/>
          <w:bCs/>
          <w:sz w:val="32"/>
          <w:szCs w:val="32"/>
        </w:rPr>
      </w:r>
    </w:p>
    <w:p>
      <w:pPr>
        <w:pStyle w:val="Normal"/>
        <w:tabs>
          <w:tab w:val="clear" w:pos="425"/>
          <w:tab w:val="left" w:pos="320" w:leader="none"/>
          <w:tab w:val="left" w:pos="8480" w:leader="none"/>
          <w:tab w:val="left" w:pos="8640" w:leader="none"/>
        </w:tabs>
        <w:spacing w:lineRule="exact" w:line="640"/>
        <w:jc w:val="center"/>
        <w:rPr>
          <w:rFonts w:ascii="宋体" w:hAnsi="宋体" w:eastAsia="宋体" w:cs="宋体" w:hint="eastAsia"/>
          <w:bCs/>
          <w:sz w:val="44"/>
          <w:szCs w:val="44"/>
        </w:rPr>
      </w:pPr>
      <w:r>
        <w:rPr>
          <w:rFonts w:ascii="宋体" w:hAnsi="宋体" w:cs="宋体" w:hint="eastAsia" w:eastAsia="宋体"/>
          <w:b/>
          <w:bCs w:val="false"/>
          <w:sz w:val="44"/>
          <w:szCs w:val="44"/>
        </w:rPr>
        <w:t>桓仁满族自治县浑江流域水环境保护条例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both"/>
        <w:rPr>
          <w:rFonts w:ascii="宋体" w:hAnsi="宋体" w:eastAsia="宋体" w:cs="宋体" w:hint="eastAsia"/>
          <w:bCs/>
          <w:kern w:val="0"/>
          <w:sz w:val="32"/>
          <w:szCs w:val="32"/>
        </w:rPr>
      </w:pPr>
      <w:r>
        <w:rPr>
          <w:rFonts w:eastAsia="宋体" w:cs="宋体" w:hint="eastAsia" w:ascii="宋体" w:hAnsi="宋体"/>
          <w:bCs/>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both"/>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w:t>
      </w:r>
      <w:r>
        <w:rPr>
          <w:rFonts w:eastAsia="楷体" w:cs="楷体" w:hint="eastAsia" w:ascii="楷体" w:hAnsi="楷体"/>
          <w:kern w:val="0"/>
          <w:sz w:val="32"/>
          <w:szCs w:val="32"/>
        </w:rPr>
        <w:t>2020</w:t>
      </w:r>
      <w:r>
        <w:rPr>
          <w:rFonts w:ascii="楷体" w:hAnsi="楷体" w:cs="楷体" w:hint="eastAsia" w:eastAsia="楷体"/>
          <w:kern w:val="0"/>
          <w:sz w:val="32"/>
          <w:szCs w:val="32"/>
        </w:rPr>
        <w:t>年</w:t>
      </w:r>
      <w:r>
        <w:rPr>
          <w:rFonts w:eastAsia="楷体" w:cs="楷体" w:hint="eastAsia" w:ascii="楷体" w:hAnsi="楷体"/>
          <w:kern w:val="0"/>
          <w:sz w:val="32"/>
          <w:szCs w:val="32"/>
        </w:rPr>
        <w:t>12</w:t>
      </w:r>
      <w:r>
        <w:rPr>
          <w:rFonts w:ascii="楷体" w:hAnsi="楷体" w:cs="楷体" w:hint="eastAsia" w:eastAsia="楷体"/>
          <w:kern w:val="0"/>
          <w:sz w:val="32"/>
          <w:szCs w:val="32"/>
        </w:rPr>
        <w:t>月</w:t>
      </w:r>
      <w:r>
        <w:rPr>
          <w:rFonts w:eastAsia="楷体" w:cs="楷体" w:hint="eastAsia" w:ascii="楷体" w:hAnsi="楷体"/>
          <w:kern w:val="0"/>
          <w:sz w:val="32"/>
          <w:szCs w:val="32"/>
        </w:rPr>
        <w:t>25</w:t>
      </w:r>
      <w:r>
        <w:rPr>
          <w:rFonts w:ascii="楷体" w:hAnsi="楷体" w:cs="楷体" w:hint="eastAsia" w:eastAsia="楷体"/>
          <w:kern w:val="0"/>
          <w:sz w:val="32"/>
          <w:szCs w:val="32"/>
        </w:rPr>
        <w:t>日桓仁满族自治县第七届人民代表大会</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both"/>
        <w:rPr>
          <w:rFonts w:ascii="楷体" w:hAnsi="楷体" w:eastAsia="楷体" w:cs="楷体" w:hint="eastAsia"/>
          <w:kern w:val="0"/>
          <w:sz w:val="32"/>
          <w:szCs w:val="32"/>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 xml:space="preserve">第五次会议通过 </w:t>
      </w:r>
      <w:r>
        <w:rPr>
          <w:rFonts w:eastAsia="楷体" w:cs="楷体" w:hint="eastAsia" w:ascii="楷体" w:hAnsi="楷体"/>
          <w:kern w:val="0"/>
          <w:sz w:val="32"/>
          <w:szCs w:val="32"/>
        </w:rPr>
        <w:t>2021</w:t>
      </w:r>
      <w:r>
        <w:rPr>
          <w:rFonts w:ascii="楷体" w:hAnsi="楷体" w:cs="楷体" w:hint="eastAsia" w:eastAsia="楷体"/>
          <w:kern w:val="0"/>
          <w:sz w:val="32"/>
          <w:szCs w:val="32"/>
        </w:rPr>
        <w:t>年</w:t>
      </w:r>
      <w:r>
        <w:rPr>
          <w:rFonts w:eastAsia="楷体" w:cs="楷体" w:hint="eastAsia" w:ascii="楷体" w:hAnsi="楷体"/>
          <w:kern w:val="0"/>
          <w:sz w:val="32"/>
          <w:szCs w:val="32"/>
        </w:rPr>
        <w:t>3</w:t>
      </w:r>
      <w:r>
        <w:rPr>
          <w:rFonts w:ascii="楷体" w:hAnsi="楷体" w:cs="楷体" w:hint="eastAsia" w:eastAsia="楷体"/>
          <w:kern w:val="0"/>
          <w:sz w:val="32"/>
          <w:szCs w:val="32"/>
        </w:rPr>
        <w:t>月</w:t>
      </w:r>
      <w:r>
        <w:rPr>
          <w:rFonts w:eastAsia="楷体" w:cs="楷体" w:hint="eastAsia" w:ascii="楷体" w:hAnsi="楷体"/>
          <w:kern w:val="0"/>
          <w:sz w:val="32"/>
          <w:szCs w:val="32"/>
        </w:rPr>
        <w:t>31</w:t>
      </w:r>
      <w:r>
        <w:rPr>
          <w:rFonts w:ascii="楷体" w:hAnsi="楷体" w:cs="楷体" w:hint="eastAsia" w:eastAsia="楷体"/>
          <w:kern w:val="0"/>
          <w:sz w:val="32"/>
          <w:szCs w:val="32"/>
        </w:rPr>
        <w:t>日辽宁省第十三届人民代</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both"/>
        <w:rPr>
          <w:rFonts w:ascii="楷体" w:hAnsi="楷体" w:eastAsia="楷体" w:cs="楷体" w:hint="eastAsia"/>
          <w:kern w:val="0"/>
          <w:sz w:val="25"/>
          <w:szCs w:val="25"/>
        </w:rPr>
      </w:pPr>
      <w:r>
        <w:rPr>
          <w:rFonts w:eastAsia="楷体" w:cs="楷体" w:hint="eastAsia" w:ascii="楷体" w:hAnsi="楷体"/>
          <w:kern w:val="0"/>
          <w:sz w:val="32"/>
          <w:szCs w:val="32"/>
        </w:rPr>
        <w:t xml:space="preserve">  </w:t>
      </w:r>
      <w:r>
        <w:rPr>
          <w:rFonts w:ascii="楷体" w:hAnsi="楷体" w:cs="楷体" w:hint="eastAsia" w:eastAsia="楷体"/>
          <w:kern w:val="0"/>
          <w:sz w:val="32"/>
          <w:szCs w:val="32"/>
        </w:rPr>
        <w:t>表大会常务委员会第</w:t>
      </w:r>
      <w:r>
        <w:rPr>
          <w:rFonts w:eastAsia="楷体" w:cs="楷体" w:hint="eastAsia" w:ascii="楷体" w:hAnsi="楷体"/>
          <w:kern w:val="0"/>
          <w:sz w:val="32"/>
          <w:szCs w:val="32"/>
        </w:rPr>
        <w:t>25</w:t>
      </w:r>
      <w:r>
        <w:rPr>
          <w:rFonts w:ascii="楷体" w:hAnsi="楷体" w:cs="楷体" w:hint="eastAsia" w:eastAsia="楷体"/>
          <w:kern w:val="0"/>
          <w:sz w:val="32"/>
          <w:szCs w:val="32"/>
        </w:rPr>
        <w:t>次会议批准）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rPr>
          <w:rFonts w:ascii="宋体" w:hAnsi="宋体" w:eastAsia="宋体" w:cs="宋体" w:hint="eastAsia"/>
          <w:kern w:val="0"/>
          <w:sz w:val="32"/>
          <w:szCs w:val="32"/>
        </w:rPr>
      </w:pPr>
      <w:r>
        <w:rPr>
          <w:rFonts w:eastAsia="宋体" w:cs="宋体"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 xml:space="preserve">第一条  </w:t>
      </w:r>
      <w:r>
        <w:rPr>
          <w:rFonts w:ascii="仿宋" w:hAnsi="仿宋" w:cs="仿宋" w:hint="eastAsia" w:eastAsia="仿宋"/>
          <w:kern w:val="0"/>
          <w:sz w:val="32"/>
          <w:szCs w:val="32"/>
        </w:rPr>
        <w:t>为了保护自治县境内浑江流域水环境，防治环境污染和生态破坏，维护和修复流域生态功能和生态平衡，保障用水安全和公众健康，推进生态文明建设，根据《中华人民共和国环境保护法》《中华人民共和国水污染防治法》等法律法规的规定，结合自治县实际，制定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第二条</w:t>
      </w:r>
      <w:r>
        <w:rPr>
          <w:rFonts w:ascii="仿宋" w:hAnsi="仿宋" w:cs="仿宋" w:hint="eastAsia" w:eastAsia="仿宋"/>
          <w:kern w:val="0"/>
          <w:sz w:val="32"/>
          <w:szCs w:val="32"/>
        </w:rPr>
        <w:t xml:space="preserve">  本条例适用于自治县行政区域内浑江流域的水资源保护、水污染防治、水生态修复等生态环境保护和管理活动。</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本条例所称的浑江流域，是指自治县行政区域内浑江干流及其支流的集水区域。具体范围由自治县人民政府划定，并向社会公布。</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第三条</w:t>
      </w:r>
      <w:r>
        <w:rPr>
          <w:rFonts w:ascii="仿宋" w:hAnsi="仿宋" w:cs="仿宋" w:hint="eastAsia" w:eastAsia="仿宋"/>
          <w:kern w:val="0"/>
          <w:sz w:val="32"/>
          <w:szCs w:val="32"/>
        </w:rPr>
        <w:t xml:space="preserve">  自治县人民政府应当建立健全领导协调工作机制，加强对浑江流域水环境保护工作的组织领导。</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生态环境主管部门对浑江流域水环境保护实施统一监督管理。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自治县人民政府公安、水务、自然资源、住建、农业农村等主管部门和乡镇人民政府、街道办事处应当依照法定职责做好浑江流域内水环境保护相关工作。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村民委员会、居民委员会应当协助做好辖区内浑江流域水环境保护工作。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rPr>
          <w:rFonts w:ascii="仿宋" w:hAnsi="仿宋" w:eastAsia="仿宋" w:cs="仿宋" w:hint="eastAsia"/>
          <w:kern w:val="0"/>
          <w:sz w:val="32"/>
          <w:szCs w:val="32"/>
        </w:rPr>
      </w:pPr>
      <w:r>
        <w:rPr>
          <w:rFonts w:eastAsia="黑体" w:cs="黑体" w:hint="eastAsia" w:ascii="黑体" w:hAnsi="黑体"/>
          <w:kern w:val="0"/>
          <w:sz w:val="32"/>
          <w:szCs w:val="32"/>
        </w:rPr>
        <w:t xml:space="preserve">    </w:t>
      </w:r>
      <w:r>
        <w:rPr>
          <w:rFonts w:ascii="黑体" w:hAnsi="黑体" w:cs="黑体" w:hint="eastAsia" w:eastAsia="黑体"/>
          <w:kern w:val="0"/>
          <w:sz w:val="32"/>
          <w:szCs w:val="32"/>
        </w:rPr>
        <w:t>第四条</w:t>
      </w:r>
      <w:r>
        <w:rPr>
          <w:rFonts w:ascii="仿宋" w:hAnsi="仿宋" w:cs="仿宋" w:hint="eastAsia" w:eastAsia="仿宋"/>
          <w:kern w:val="0"/>
          <w:sz w:val="32"/>
          <w:szCs w:val="32"/>
        </w:rPr>
        <w:t xml:space="preserve">  浑江流域水环境保护应当坚持生态优先、绿色发展、源头控制、系统治理、多元共治、损害担责的原则。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rPr>
          <w:rFonts w:ascii="仿宋" w:hAnsi="仿宋" w:eastAsia="仿宋" w:cs="仿宋" w:hint="eastAsia"/>
          <w:kern w:val="0"/>
          <w:sz w:val="32"/>
          <w:szCs w:val="32"/>
        </w:rPr>
      </w:pPr>
      <w:r>
        <w:rPr>
          <w:rFonts w:eastAsia="黑体" w:cs="黑体" w:hint="eastAsia" w:ascii="黑体" w:hAnsi="黑体"/>
          <w:kern w:val="0"/>
          <w:sz w:val="32"/>
          <w:szCs w:val="32"/>
        </w:rPr>
        <w:t xml:space="preserve">    </w:t>
      </w:r>
      <w:r>
        <w:rPr>
          <w:rFonts w:ascii="黑体" w:hAnsi="黑体" w:cs="黑体" w:hint="eastAsia" w:eastAsia="黑体"/>
          <w:kern w:val="0"/>
          <w:sz w:val="32"/>
          <w:szCs w:val="32"/>
        </w:rPr>
        <w:t>第五条</w:t>
      </w:r>
      <w:r>
        <w:rPr>
          <w:rFonts w:ascii="仿宋" w:hAnsi="仿宋" w:cs="仿宋" w:hint="eastAsia" w:eastAsia="仿宋"/>
          <w:kern w:val="0"/>
          <w:sz w:val="32"/>
          <w:szCs w:val="32"/>
        </w:rPr>
        <w:t xml:space="preserve">  自治县人民政府应当将浑江流域水环境保护工作纳入国民经济和社会发展规划，并将保护经费列入本级财政预算。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第六条</w:t>
      </w:r>
      <w:r>
        <w:rPr>
          <w:rFonts w:ascii="仿宋" w:hAnsi="仿宋" w:cs="仿宋" w:hint="eastAsia" w:eastAsia="仿宋"/>
          <w:kern w:val="0"/>
          <w:sz w:val="32"/>
          <w:szCs w:val="32"/>
        </w:rPr>
        <w:t xml:space="preserve">  自治县人民政府应当加强对浑江流域水环境保护的宣传教育，增强公民保护意识，营造保护水环境的良好社会氛围。</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广播、电视、报刊、网络等媒体应当加强对浑江流域保护工作的宣传报道和舆论监督。</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第七条</w:t>
      </w:r>
      <w:r>
        <w:rPr>
          <w:rFonts w:ascii="仿宋" w:hAnsi="仿宋" w:cs="仿宋" w:hint="eastAsia" w:eastAsia="仿宋"/>
          <w:kern w:val="0"/>
          <w:sz w:val="32"/>
          <w:szCs w:val="32"/>
        </w:rPr>
        <w:t xml:space="preserve">  自治县人民政府应当与浑江流域相邻地区人民政府协商建立共治、共管、共享的跨行政区域联动协调保护机制，协调解决跨行政区域的浑江流域水环境保护重大事项。</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 xml:space="preserve">第八条 </w:t>
      </w:r>
      <w:r>
        <w:rPr>
          <w:rFonts w:ascii="仿宋" w:hAnsi="仿宋" w:cs="仿宋" w:hint="eastAsia" w:eastAsia="仿宋"/>
          <w:kern w:val="0"/>
          <w:sz w:val="32"/>
          <w:szCs w:val="32"/>
        </w:rPr>
        <w:t xml:space="preserve"> 自治县人民政府应当将浑江流域水环境保护情况纳入环境状况和环境保护目标完成情况年度报告，每年向本级人民代表大会常务委员会报告，并向社会公开。</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第九条</w:t>
      </w:r>
      <w:r>
        <w:rPr>
          <w:rFonts w:ascii="仿宋" w:hAnsi="仿宋" w:cs="仿宋" w:hint="eastAsia" w:eastAsia="仿宋"/>
          <w:kern w:val="0"/>
          <w:sz w:val="32"/>
          <w:szCs w:val="32"/>
        </w:rPr>
        <w:t xml:space="preserve">  自治县人民政府审计主管部门应当依法对浑江流域水生态环境责任实施审计监督，对领导干部实行自然资源资产离任审计。</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第十条</w:t>
      </w:r>
      <w:r>
        <w:rPr>
          <w:rFonts w:ascii="仿宋" w:hAnsi="仿宋" w:cs="仿宋" w:hint="eastAsia" w:eastAsia="仿宋"/>
          <w:kern w:val="0"/>
          <w:sz w:val="32"/>
          <w:szCs w:val="32"/>
        </w:rPr>
        <w:t xml:space="preserve">  自治县应当建立浑江流域水环境保护管理目标责任考核制度，考核情况纳入县乡两级河长考核和绩效考评内容，考核结果向社会公布。</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第十一条</w:t>
      </w:r>
      <w:r>
        <w:rPr>
          <w:rFonts w:ascii="仿宋" w:hAnsi="仿宋" w:cs="仿宋" w:hint="eastAsia" w:eastAsia="仿宋"/>
          <w:kern w:val="0"/>
          <w:sz w:val="32"/>
          <w:szCs w:val="32"/>
        </w:rPr>
        <w:t xml:space="preserve">  自治县人民政府应当合理调整产业布局和产业结构，推行清洁生产和资源循环利用，建立绿色产业体系。</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禁止新建不符合国家产业政策、严重污染水环境的生产项目。</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第十二条</w:t>
      </w:r>
      <w:r>
        <w:rPr>
          <w:rFonts w:ascii="仿宋" w:hAnsi="仿宋" w:cs="仿宋" w:hint="eastAsia" w:eastAsia="仿宋"/>
          <w:kern w:val="0"/>
          <w:sz w:val="32"/>
          <w:szCs w:val="32"/>
        </w:rPr>
        <w:t xml:space="preserve">  自治县人民政府林业和草原主管部门应当规划湿地保护区域，向社会公布保护范围，采取必要措施防止湿地面积减少和湿地污染及生态功能退化。</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禁止侵占自然湿地等水源涵养空间，已侵占的应当限期予以恢复。</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第十三条</w:t>
      </w:r>
      <w:r>
        <w:rPr>
          <w:rFonts w:ascii="仿宋" w:hAnsi="仿宋" w:cs="仿宋" w:hint="eastAsia" w:eastAsia="仿宋"/>
          <w:kern w:val="0"/>
          <w:sz w:val="32"/>
          <w:szCs w:val="32"/>
        </w:rPr>
        <w:t xml:space="preserve">  自治县人民政府应当划定禁渔区、规定禁渔期并向社会公布。</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禁止在浑江流域内擅自引进或者放生外来水生物种，改变生态功能，破坏水生态环境。</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第十四条</w:t>
      </w:r>
      <w:r>
        <w:rPr>
          <w:rFonts w:ascii="仿宋" w:hAnsi="仿宋" w:cs="仿宋" w:hint="eastAsia" w:eastAsia="仿宋"/>
          <w:kern w:val="0"/>
          <w:sz w:val="32"/>
          <w:szCs w:val="32"/>
        </w:rPr>
        <w:t xml:space="preserve">  自治县人民政府应当对露天开采矿山废弃地、闭坑矿山、采矿塌陷区等实施生态环境修复。</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第十五条</w:t>
      </w:r>
      <w:r>
        <w:rPr>
          <w:rFonts w:ascii="仿宋" w:hAnsi="仿宋" w:cs="仿宋" w:hint="eastAsia" w:eastAsia="仿宋"/>
          <w:kern w:val="0"/>
          <w:sz w:val="32"/>
          <w:szCs w:val="32"/>
        </w:rPr>
        <w:t xml:space="preserve">  建设地下工程设施或者进行地下勘探、采矿等可能干扰地下含水层的活动，应当采取防护性措施，防止污染地下水。</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第十六条</w:t>
      </w:r>
      <w:r>
        <w:rPr>
          <w:rFonts w:ascii="仿宋" w:hAnsi="仿宋" w:cs="仿宋" w:hint="eastAsia" w:eastAsia="仿宋"/>
          <w:kern w:val="0"/>
          <w:sz w:val="32"/>
          <w:szCs w:val="32"/>
        </w:rPr>
        <w:t xml:space="preserve">  在浑江流域设置排污口的单位，应当在排污口设置标志牌，载明相关信息，接受社会监督。</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排污单位应当按照有关规定监测水污染物排放并保存原始监测数据。</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重点排污单位应当安装水污染物排放自动监测设备，与生态环境主管部门的监控设备联网，保证监测设备正常运行并依法公开排放信息。</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第十七条</w:t>
      </w:r>
      <w:r>
        <w:rPr>
          <w:rFonts w:ascii="仿宋" w:hAnsi="仿宋" w:cs="仿宋" w:hint="eastAsia" w:eastAsia="仿宋"/>
          <w:kern w:val="0"/>
          <w:sz w:val="32"/>
          <w:szCs w:val="32"/>
        </w:rPr>
        <w:t xml:space="preserve">  自治县人民政府应当统筹规划和建设城镇生活污水集中处理设施及其配套管网，提高污水收集率和处理率，确保城镇生活污水达标排放。</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第十八条</w:t>
      </w:r>
      <w:r>
        <w:rPr>
          <w:rFonts w:ascii="仿宋" w:hAnsi="仿宋" w:cs="仿宋" w:hint="eastAsia" w:eastAsia="仿宋"/>
          <w:kern w:val="0"/>
          <w:sz w:val="32"/>
          <w:szCs w:val="32"/>
        </w:rPr>
        <w:t xml:space="preserve">  自治县人民政府应当推进城乡生活垃圾的分类收集和减量化、无害化、资源化处理，防止垃圾污染浑江流域水体。</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第十九条</w:t>
      </w:r>
      <w:r>
        <w:rPr>
          <w:rFonts w:ascii="仿宋" w:hAnsi="仿宋" w:cs="仿宋" w:hint="eastAsia" w:eastAsia="仿宋"/>
          <w:kern w:val="0"/>
          <w:sz w:val="32"/>
          <w:szCs w:val="32"/>
        </w:rPr>
        <w:t xml:space="preserve">  自治县人民政府农业农村主管部门，应当指导农业生产者科学、合理使用化肥和农药，组织推广生物防治、物理防治、测土配方施肥技术和使用高效低毒低残留农药，控制化肥和农药过量使用，防止造成水体污染。</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第二十条</w:t>
      </w:r>
      <w:r>
        <w:rPr>
          <w:rFonts w:ascii="仿宋" w:hAnsi="仿宋" w:cs="仿宋" w:hint="eastAsia" w:eastAsia="仿宋"/>
          <w:kern w:val="0"/>
          <w:sz w:val="32"/>
          <w:szCs w:val="32"/>
        </w:rPr>
        <w:t xml:space="preserve">  自治县人民政府应当依法划定畜禽养殖禁养区。</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禁养区内不得从事规模化畜禽养殖，已经建成的由自治县人民政府限期关闭或者依法搬迁，因关闭或者搬迁造成的财产损失，应当给予适当补偿。</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第二十一条</w:t>
      </w:r>
      <w:r>
        <w:rPr>
          <w:rFonts w:ascii="仿宋" w:hAnsi="仿宋" w:cs="仿宋" w:hint="eastAsia" w:eastAsia="仿宋"/>
          <w:kern w:val="0"/>
          <w:sz w:val="32"/>
          <w:szCs w:val="32"/>
        </w:rPr>
        <w:t xml:space="preserve">  自治县人民政府渔业主管部门应当科学规划水产养殖业布局，合理确定水产养殖的范围、规模、品种，推广生态养殖技术，防止和减少水产养殖对水环境造成的污染。</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第二十二条</w:t>
      </w:r>
      <w:r>
        <w:rPr>
          <w:rFonts w:ascii="仿宋" w:hAnsi="仿宋" w:cs="仿宋" w:hint="eastAsia" w:eastAsia="仿宋"/>
          <w:kern w:val="0"/>
          <w:sz w:val="32"/>
          <w:szCs w:val="32"/>
        </w:rPr>
        <w:t xml:space="preserve">  在浑江流域内从事旅游、采砂的船舶，应当按照有关规定配备符合国家标准的防污设备和器材。</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禁止向水体排放残油、废油和倾倒垃圾。</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 xml:space="preserve">第二十三条 </w:t>
      </w:r>
      <w:r>
        <w:rPr>
          <w:rFonts w:ascii="仿宋" w:hAnsi="仿宋" w:cs="仿宋" w:hint="eastAsia" w:eastAsia="仿宋"/>
          <w:kern w:val="0"/>
          <w:sz w:val="32"/>
          <w:szCs w:val="32"/>
        </w:rPr>
        <w:t xml:space="preserve"> 浑江流域河道管理范围内禁止下列行为：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（一）堆放柴草，倾倒、填埋生活垃圾；</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（二）倾倒、填埋建筑垃圾、医疗垃圾、工业废渣和其他废弃物；</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（三）侵占河道从事餐饮、设置游乐设施；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（四）丢弃农药及农药包装物或者清洗施药器械；</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（五）丢弃、填埋畜禽尸体；</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（六）法律法规规定的其他禁止行为。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第二十四条</w:t>
      </w:r>
      <w:r>
        <w:rPr>
          <w:rFonts w:ascii="仿宋" w:hAnsi="仿宋" w:cs="仿宋" w:hint="eastAsia" w:eastAsia="仿宋"/>
          <w:kern w:val="0"/>
          <w:sz w:val="32"/>
          <w:szCs w:val="32"/>
        </w:rPr>
        <w:t xml:space="preserve">  自治县人民政府应当组织应急管理、水务、生态环境等主管部门制定浑江流域水环境保护突发事件应急预案，定期开展应急演练，做好应急准备、应急处置和事后恢复等工作。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第二十五条</w:t>
      </w:r>
      <w:r>
        <w:rPr>
          <w:rFonts w:ascii="仿宋" w:hAnsi="仿宋" w:cs="仿宋" w:hint="eastAsia" w:eastAsia="仿宋"/>
          <w:kern w:val="0"/>
          <w:sz w:val="32"/>
          <w:szCs w:val="32"/>
        </w:rPr>
        <w:t xml:space="preserve">  自治县应当整合生态环境保护综合执法队伍，统一实行水环境保护执法。</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第二十六条</w:t>
      </w:r>
      <w:r>
        <w:rPr>
          <w:rFonts w:ascii="仿宋" w:hAnsi="仿宋" w:cs="仿宋" w:hint="eastAsia" w:eastAsia="仿宋"/>
          <w:kern w:val="0"/>
          <w:sz w:val="32"/>
          <w:szCs w:val="32"/>
        </w:rPr>
        <w:t xml:space="preserve">  任何单位和个人都有保护浑江流域水环境的义务，并有权制止、举报和投诉污染、破坏水环境的行为。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第二十七条</w:t>
      </w:r>
      <w:r>
        <w:rPr>
          <w:rFonts w:ascii="仿宋" w:hAnsi="仿宋" w:cs="仿宋" w:hint="eastAsia" w:eastAsia="仿宋"/>
          <w:kern w:val="0"/>
          <w:sz w:val="32"/>
          <w:szCs w:val="32"/>
        </w:rPr>
        <w:t xml:space="preserve">  违反本条例规定的，由生态环境主管部门或有关部门给予处罚：</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（一）违反第十二条第二款规定，侵占自然湿地的，责令限期恢复原状，并按照所破坏面积处每平方米</w:t>
      </w:r>
      <w:r>
        <w:rPr>
          <w:rFonts w:eastAsia="仿宋" w:cs="仿宋" w:hint="eastAsia" w:ascii="仿宋" w:hAnsi="仿宋"/>
          <w:kern w:val="0"/>
          <w:sz w:val="32"/>
          <w:szCs w:val="32"/>
        </w:rPr>
        <w:t>50</w:t>
      </w:r>
      <w:r>
        <w:rPr>
          <w:rFonts w:ascii="仿宋" w:hAnsi="仿宋" w:cs="仿宋" w:hint="eastAsia" w:eastAsia="仿宋"/>
          <w:kern w:val="0"/>
          <w:sz w:val="32"/>
          <w:szCs w:val="32"/>
        </w:rPr>
        <w:t xml:space="preserve">元罚款。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（二）违反第十三条第一款规定，在禁渔区、禁渔期捕鱼的，依据《中华人民共和国渔业法》第三十八条规定处罚。</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（三）违反第十三条第二款规定，擅自引进外来水生物种的，由渔业主管部门没收引进的外来物种，并处</w:t>
      </w:r>
      <w:r>
        <w:rPr>
          <w:rFonts w:eastAsia="仿宋" w:cs="仿宋" w:hint="eastAsia" w:ascii="仿宋" w:hAnsi="仿宋"/>
          <w:kern w:val="0"/>
          <w:sz w:val="32"/>
          <w:szCs w:val="32"/>
        </w:rPr>
        <w:t>5</w:t>
      </w:r>
      <w:r>
        <w:rPr>
          <w:rFonts w:ascii="仿宋" w:hAnsi="仿宋" w:cs="仿宋" w:hint="eastAsia" w:eastAsia="仿宋"/>
          <w:kern w:val="0"/>
          <w:sz w:val="32"/>
          <w:szCs w:val="32"/>
        </w:rPr>
        <w:t>万元罚款；擅自放生外来水生物种的，由渔业主管部门责令限期捕回、找回放生的外来水生物种，并处</w:t>
      </w:r>
      <w:r>
        <w:rPr>
          <w:rFonts w:eastAsia="仿宋" w:cs="仿宋" w:hint="eastAsia" w:ascii="仿宋" w:hAnsi="仿宋"/>
          <w:kern w:val="0"/>
          <w:sz w:val="32"/>
          <w:szCs w:val="32"/>
        </w:rPr>
        <w:t>1</w:t>
      </w:r>
      <w:r>
        <w:rPr>
          <w:rFonts w:ascii="仿宋" w:hAnsi="仿宋" w:cs="仿宋" w:hint="eastAsia" w:eastAsia="仿宋"/>
          <w:kern w:val="0"/>
          <w:sz w:val="32"/>
          <w:szCs w:val="32"/>
        </w:rPr>
        <w:t>万元罚款。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（四）违反第十六条第一款规定的，责令限期改正，处</w:t>
      </w:r>
      <w:r>
        <w:rPr>
          <w:rFonts w:eastAsia="仿宋" w:cs="仿宋" w:hint="eastAsia" w:ascii="仿宋" w:hAnsi="仿宋"/>
          <w:kern w:val="0"/>
          <w:sz w:val="32"/>
          <w:szCs w:val="32"/>
        </w:rPr>
        <w:t>5000</w:t>
      </w:r>
      <w:r>
        <w:rPr>
          <w:rFonts w:ascii="仿宋" w:hAnsi="仿宋" w:cs="仿宋" w:hint="eastAsia" w:eastAsia="仿宋"/>
          <w:kern w:val="0"/>
          <w:sz w:val="32"/>
          <w:szCs w:val="32"/>
        </w:rPr>
        <w:t>元罚款。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（五）违反第十五条、第十六条第二款和第三款、第二十二条、第二十三条第一项及第二项规定的，依照《中华人民共和国水污染防治法》相关规定进行处罚。</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t xml:space="preserve">    </w:t>
      </w:r>
      <w:r>
        <w:rPr>
          <w:rFonts w:ascii="仿宋" w:hAnsi="仿宋" w:cs="仿宋" w:hint="eastAsia" w:eastAsia="仿宋"/>
          <w:kern w:val="0"/>
          <w:sz w:val="32"/>
          <w:szCs w:val="32"/>
        </w:rPr>
        <w:t>（六）违反第二十三条第三项规定侵占河道从事餐饮、设置游乐设施的，由水务主管部门责令停止违法行为，拆除设施或者采取其他补救措施，并处</w:t>
      </w:r>
      <w:r>
        <w:rPr>
          <w:rFonts w:eastAsia="仿宋" w:cs="仿宋" w:hint="eastAsia" w:ascii="仿宋" w:hAnsi="仿宋"/>
          <w:kern w:val="0"/>
          <w:sz w:val="32"/>
          <w:szCs w:val="32"/>
        </w:rPr>
        <w:t>3</w:t>
      </w:r>
      <w:r>
        <w:rPr>
          <w:rFonts w:ascii="仿宋" w:hAnsi="仿宋" w:cs="仿宋" w:hint="eastAsia" w:eastAsia="仿宋"/>
          <w:kern w:val="0"/>
          <w:sz w:val="32"/>
          <w:szCs w:val="32"/>
        </w:rPr>
        <w:t>万元罚款。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（七）违反第二十三条第四项规定，在河道管理范围内丢弃农药及农药包装物或者清洗施药器械的，由农业农村主管部门责令改正，农药使用者为单位的，处</w:t>
      </w:r>
      <w:r>
        <w:rPr>
          <w:rFonts w:eastAsia="仿宋" w:cs="仿宋" w:hint="eastAsia" w:ascii="仿宋" w:hAnsi="仿宋"/>
          <w:kern w:val="0"/>
          <w:sz w:val="32"/>
          <w:szCs w:val="32"/>
        </w:rPr>
        <w:t>5</w:t>
      </w:r>
      <w:r>
        <w:rPr>
          <w:rFonts w:ascii="仿宋" w:hAnsi="仿宋" w:cs="仿宋" w:hint="eastAsia" w:eastAsia="仿宋"/>
          <w:kern w:val="0"/>
          <w:sz w:val="32"/>
          <w:szCs w:val="32"/>
        </w:rPr>
        <w:t>万元罚款，农药使用者为个人的，处</w:t>
      </w:r>
      <w:r>
        <w:rPr>
          <w:rFonts w:eastAsia="仿宋" w:cs="仿宋" w:hint="eastAsia" w:ascii="仿宋" w:hAnsi="仿宋"/>
          <w:kern w:val="0"/>
          <w:sz w:val="32"/>
          <w:szCs w:val="32"/>
        </w:rPr>
        <w:t>5000</w:t>
      </w:r>
      <w:r>
        <w:rPr>
          <w:rFonts w:ascii="仿宋" w:hAnsi="仿宋" w:cs="仿宋" w:hint="eastAsia" w:eastAsia="仿宋"/>
          <w:kern w:val="0"/>
          <w:sz w:val="32"/>
          <w:szCs w:val="32"/>
        </w:rPr>
        <w:t>元罚款。构成犯罪的，依法追究刑事责任。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（八）违反第二十三条第五项规定，在河道管理范围内丢弃、填埋畜禽尸体的，由生态环境主管部门责令限期治理，并处</w:t>
      </w:r>
      <w:r>
        <w:rPr>
          <w:rFonts w:eastAsia="仿宋" w:cs="仿宋" w:hint="eastAsia" w:ascii="仿宋" w:hAnsi="仿宋"/>
          <w:kern w:val="0"/>
          <w:sz w:val="32"/>
          <w:szCs w:val="32"/>
        </w:rPr>
        <w:t>2</w:t>
      </w:r>
      <w:r>
        <w:rPr>
          <w:rFonts w:ascii="仿宋" w:hAnsi="仿宋" w:cs="仿宋" w:hint="eastAsia" w:eastAsia="仿宋"/>
          <w:kern w:val="0"/>
          <w:sz w:val="32"/>
          <w:szCs w:val="32"/>
        </w:rPr>
        <w:t>万元罚款；情节严重的，处</w:t>
      </w:r>
      <w:r>
        <w:rPr>
          <w:rFonts w:eastAsia="仿宋" w:cs="仿宋" w:hint="eastAsia" w:ascii="仿宋" w:hAnsi="仿宋"/>
          <w:kern w:val="0"/>
          <w:sz w:val="32"/>
          <w:szCs w:val="32"/>
        </w:rPr>
        <w:t>5</w:t>
      </w:r>
      <w:r>
        <w:rPr>
          <w:rFonts w:ascii="仿宋" w:hAnsi="仿宋" w:cs="仿宋" w:hint="eastAsia" w:eastAsia="仿宋"/>
          <w:kern w:val="0"/>
          <w:sz w:val="32"/>
          <w:szCs w:val="32"/>
        </w:rPr>
        <w:t>万元罚款。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第二十八条</w:t>
      </w:r>
      <w:r>
        <w:rPr>
          <w:rFonts w:ascii="仿宋" w:hAnsi="仿宋" w:cs="仿宋" w:hint="eastAsia" w:eastAsia="仿宋"/>
          <w:kern w:val="0"/>
          <w:sz w:val="32"/>
          <w:szCs w:val="32"/>
        </w:rPr>
        <w:t xml:space="preserve">  国家机关工作人员在浑江流域水环境保护工作中滥用职权、玩忽职守、徇私舞弊构成犯罪的，依法追究刑事责任；尚不构成犯罪的，依法给予行政处分。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第二十九条</w:t>
      </w:r>
      <w:r>
        <w:rPr>
          <w:rFonts w:ascii="仿宋" w:hAnsi="仿宋" w:cs="仿宋" w:hint="eastAsia" w:eastAsia="仿宋"/>
          <w:kern w:val="0"/>
          <w:sz w:val="32"/>
          <w:szCs w:val="32"/>
        </w:rPr>
        <w:t xml:space="preserve">  辽宁省大伙房饮用水水源保护区内的水环境保护，执行《辽宁省大伙房饮用水水源保护条例》。《辽宁省大伙房饮用水水源保护条例》没有作出规定的，执行本条例。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 xml:space="preserve">第三十条 </w:t>
      </w:r>
      <w:r>
        <w:rPr>
          <w:rFonts w:ascii="仿宋" w:hAnsi="仿宋" w:cs="仿宋" w:hint="eastAsia" w:eastAsia="仿宋"/>
          <w:kern w:val="0"/>
          <w:sz w:val="32"/>
          <w:szCs w:val="32"/>
        </w:rPr>
        <w:t xml:space="preserve"> 本条例自</w:t>
      </w:r>
      <w:r>
        <w:rPr>
          <w:rFonts w:eastAsia="仿宋" w:cs="仿宋" w:hint="eastAsia" w:ascii="仿宋" w:hAnsi="仿宋"/>
          <w:kern w:val="0"/>
          <w:sz w:val="32"/>
          <w:szCs w:val="32"/>
        </w:rPr>
        <w:t>2021</w:t>
      </w:r>
      <w:r>
        <w:rPr>
          <w:rFonts w:ascii="仿宋" w:hAnsi="仿宋" w:cs="仿宋" w:hint="eastAsia" w:eastAsia="仿宋"/>
          <w:kern w:val="0"/>
          <w:sz w:val="32"/>
          <w:szCs w:val="32"/>
        </w:rPr>
        <w:t>年</w:t>
      </w:r>
      <w:r>
        <w:rPr>
          <w:rFonts w:eastAsia="仿宋" w:cs="仿宋" w:hint="eastAsia" w:ascii="仿宋" w:hAnsi="仿宋"/>
          <w:kern w:val="0"/>
          <w:sz w:val="32"/>
          <w:szCs w:val="32"/>
        </w:rPr>
        <w:t>7</w:t>
      </w:r>
      <w:r>
        <w:rPr>
          <w:rFonts w:ascii="仿宋" w:hAnsi="仿宋" w:cs="仿宋" w:hint="eastAsia" w:eastAsia="仿宋"/>
          <w:kern w:val="0"/>
          <w:sz w:val="32"/>
          <w:szCs w:val="32"/>
        </w:rPr>
        <w:t>月</w:t>
      </w:r>
      <w:r>
        <w:rPr>
          <w:rFonts w:eastAsia="仿宋" w:cs="仿宋" w:hint="eastAsia" w:ascii="仿宋" w:hAnsi="仿宋"/>
          <w:kern w:val="0"/>
          <w:sz w:val="32"/>
          <w:szCs w:val="32"/>
        </w:rPr>
        <w:t>1</w:t>
      </w:r>
      <w:r>
        <w:rPr>
          <w:rFonts w:ascii="仿宋" w:hAnsi="仿宋" w:cs="仿宋" w:hint="eastAsia" w:eastAsia="仿宋"/>
          <w:kern w:val="0"/>
          <w:sz w:val="32"/>
          <w:szCs w:val="32"/>
        </w:rPr>
        <w:t>日起施行。</w:t>
      </w:r>
    </w:p>
    <w:p>
      <w:pPr>
        <w:pStyle w:val="Normal"/>
        <w:ind w:firstLineChars="2457" w:startChars="0" w:start="0" w:endChars="0" w:end="0"/>
        <w:rPr>
          <w:rFonts w:ascii="仿宋" w:hAnsi="仿宋" w:eastAsia="黑体" w:cs="仿宋" w:hint="eastAsia"/>
          <w:kern w:val="0"/>
          <w:sz w:val="28"/>
          <w:szCs w:val="32"/>
        </w:rPr>
      </w:pPr>
      <w:r>
        <w:rPr>
          <w:rFonts w:eastAsia="黑体" w:cs="仿宋" w:hint="eastAsia" w:ascii="仿宋" w:hAnsi="仿宋"/>
          <w:kern w:val="0"/>
          <w:sz w:val="28"/>
          <w:szCs w:val="32"/>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sectPr>
      <w:footerReference w:type="default" r:id="rId2"/>
      <w:type w:val="nextPage"/>
      <w:pgSz w:w="11906" w:h="16838"/>
      <w:pgMar w:left="1531" w:right="1474" w:gutter="0" w:header="0" w:top="2154" w:footer="1077" w:bottom="1361"/>
      <w:pgNumType w:fmt="decimal"/>
      <w:formProt w:val="false"/>
      <w:textDirection w:val="lrTb"/>
      <w:docGrid w:type="lines" w:linePitch="45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楷体">
    <w:charset w:val="86"/>
    <w:family w:val="modern"/>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1050" w:leader="none"/>
      </w:tabs>
      <w:ind w:end="360"/>
      <w:rPr/>
    </w:pPr>
    <w:r>
      <w:rPr/>
      <w:tab/>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50875" cy="304800"/>
              <wp:effectExtent l="0" t="0" r="0" b="0"/>
              <wp:wrapSquare wrapText="bothSides"/>
              <wp:docPr id="1" name="Frame1"/>
              <a:graphic xmlns:a="http://schemas.openxmlformats.org/drawingml/2006/main">
                <a:graphicData uri="http://schemas.microsoft.com/office/word/2010/wordprocessingShape">
                  <wps:wsp>
                    <wps:cNvSpPr txBox="1"/>
                    <wps:spPr>
                      <a:xfrm>
                        <a:off x="0" y="0"/>
                        <a:ext cx="650875" cy="304800"/>
                      </a:xfrm>
                      <a:prstGeom prst="rect"/>
                      <a:solidFill>
                        <a:srgbClr val="FFFFFF">
                          <a:alpha val="0"/>
                        </a:srgbClr>
                      </a:solidFill>
                    </wps:spPr>
                    <wps:txbx>
                      <w:txbxContent>
                        <w:p>
                          <w:pPr>
                            <w:pStyle w:val="Footer"/>
                            <w:spacing w:lineRule="exact" w:line="480"/>
                            <w:jc w:val="start"/>
                            <w:rPr>
                              <w:rStyle w:val="PageNumber"/>
                              <w:rFonts w:hint="eastAsia"/>
                              <w:sz w:val="28"/>
                            </w:rPr>
                          </w:pPr>
                          <w:r>
                            <w:rPr>
                              <w:rFonts w:hint="eastAsia"/>
                              <w:sz w:val="28"/>
                            </w:rPr>
                            <w:t xml:space="preserve">  </w:t>
                          </w:r>
                          <w:r>
                            <w:rPr>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7</w:t>
                          </w:r>
                          <w:r>
                            <w:rPr>
                              <w:rFonts w:eastAsia="宋体" w:cs="宋体" w:hint="eastAsia" w:ascii="宋体" w:hAnsi="宋体"/>
                              <w:sz w:val="28"/>
                            </w:rPr>
                            <w:fldChar w:fldCharType="end"/>
                          </w:r>
                          <w:r>
                            <w:rPr>
                              <w:sz w:val="28"/>
                            </w:rPr>
                            <w:t xml:space="preserve"> —</w:t>
                          </w:r>
                        </w:p>
                      </w:txbxContent>
                    </wps:txbx>
                    <wps:bodyPr anchor="t" lIns="0" tIns="0" rIns="0" bIns="0">
                      <a:noAutofit/>
                    </wps:bodyPr>
                  </wps:wsp>
                </a:graphicData>
              </a:graphic>
            </wp:anchor>
          </w:drawing>
        </mc:Choice>
        <mc:Fallback>
          <w:pict>
            <v:rect fillcolor="#FFFFFF" style="position:absolute;rotation:-0;width:51.25pt;height:24pt;mso-wrap-distance-left:0pt;mso-wrap-distance-right:0pt;mso-wrap-distance-top:0pt;mso-wrap-distance-bottom:0pt;margin-top:0.05pt;mso-position-vertical-relative:text;margin-left:393.8pt;mso-position-horizontal:outside;mso-position-horizontal-relative:margin">
              <v:fill opacity="0f"/>
              <v:textbox inset="0in,0in,0in,0in">
                <w:txbxContent>
                  <w:p>
                    <w:pPr>
                      <w:pStyle w:val="Footer"/>
                      <w:spacing w:lineRule="exact" w:line="480"/>
                      <w:jc w:val="start"/>
                      <w:rPr>
                        <w:rStyle w:val="PageNumber"/>
                        <w:rFonts w:hint="eastAsia"/>
                        <w:sz w:val="28"/>
                      </w:rPr>
                    </w:pPr>
                    <w:r>
                      <w:rPr>
                        <w:rFonts w:hint="eastAsia"/>
                        <w:sz w:val="28"/>
                      </w:rPr>
                      <w:t xml:space="preserve">  </w:t>
                    </w:r>
                    <w:r>
                      <w:rPr>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7</w:t>
                    </w:r>
                    <w:r>
                      <w:rPr>
                        <w:rFonts w:eastAsia="宋体" w:cs="宋体" w:hint="eastAsia" w:ascii="宋体" w:hAnsi="宋体"/>
                        <w:sz w:val="28"/>
                      </w:rPr>
                      <w:fldChar w:fldCharType="end"/>
                    </w:r>
                    <w:r>
                      <w:rPr>
                        <w:sz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5"/>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tabs>
        <w:tab w:val="clear" w:pos="425"/>
        <w:tab w:val="left" w:pos="8800" w:leader="none"/>
      </w:tabs>
      <w:spacing w:lineRule="exact" w:line="620"/>
      <w:ind w:firstLine="630" w:start="0" w:end="0"/>
    </w:pPr>
    <w:rPr>
      <w:szCs w:val="32"/>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Style15">
    <w:name w:val="日期"/>
    <w:basedOn w:val="Normal"/>
    <w:next w:val="Normal"/>
    <w:qFormat/>
    <w:pPr>
      <w:ind w:hanging="0" w:start="100" w:end="0"/>
    </w:pPr>
    <w:rPr>
      <w:rFonts w:eastAsia="宋体"/>
      <w:sz w:val="30"/>
    </w:rPr>
  </w:style>
  <w:style w:type="paragraph" w:styleId="Footer">
    <w:name w:val="footer"/>
    <w:basedOn w:val="Normal"/>
    <w:pPr>
      <w:tabs>
        <w:tab w:val="clear" w:pos="425"/>
        <w:tab w:val="center" w:pos="4153" w:leader="none"/>
        <w:tab w:val="right" w:pos="8306" w:leader="none"/>
      </w:tabs>
      <w:snapToGrid w:val="false"/>
      <w:jc w:val="start"/>
    </w:pPr>
    <w:rPr>
      <w:rFonts w:eastAsia="宋体"/>
      <w:sz w:val="18"/>
    </w:rPr>
  </w:style>
  <w:style w:type="paragraph" w:styleId="Style16">
    <w:name w:val="批注框文本"/>
    <w:basedOn w:val="Normal"/>
    <w:qFormat/>
    <w:pPr/>
    <w:rPr>
      <w:sz w:val="18"/>
      <w:szCs w:val="18"/>
    </w:rPr>
  </w:style>
  <w:style w:type="paragraph" w:styleId="Char1">
    <w:name w:val="Char1"/>
    <w:basedOn w:val="Normal"/>
    <w:qFormat/>
    <w:pPr/>
    <w:rPr/>
  </w:style>
  <w:style w:type="paragraph" w:styleId="New">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2013-11-05T10:45:00Z</dcterms:created>
  <dc:creator>cyh</dc:creator>
  <dc:description/>
  <dc:language>en-US</dc:language>
  <cp:lastModifiedBy>Administrator</cp:lastModifiedBy>
  <dcterms:modified xsi:type="dcterms:W3CDTF">2021-08-06T16:19:21Z</dcterms:modified>
  <cp:revision>5</cp:revision>
  <dc:subject/>
  <dc:title>桓政[2003]号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