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z w:val="32"/>
          <w:szCs w:val="44"/>
        </w:rPr>
      </w:pPr>
      <w:r>
        <w:rPr>
          <w:rFonts w:eastAsia="宋体" w:cs="宋体" w:hint="eastAsia" w:ascii="宋体" w:hAnsi="宋体"/>
          <w:b w:val="false"/>
          <w:bCs w:val="false"/>
          <w:color w:val="000000"/>
          <w:sz w:val="32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z w:val="32"/>
          <w:szCs w:val="44"/>
        </w:rPr>
      </w:pPr>
      <w:r>
        <w:rPr>
          <w:rFonts w:eastAsia="宋体" w:cs="宋体" w:hint="eastAsia" w:ascii="宋体" w:hAnsi="宋体"/>
          <w:b w:val="false"/>
          <w:bCs w:val="false"/>
          <w:color w:val="000000"/>
          <w:sz w:val="32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z w:val="44"/>
          <w:szCs w:val="44"/>
        </w:rPr>
      </w:pPr>
      <w:r>
        <w:rPr>
          <w:rFonts w:ascii="宋体" w:hAnsi="宋体" w:cs="宋体" w:hint="eastAsia"/>
          <w:b w:val="false"/>
          <w:bCs w:val="false"/>
          <w:color w:val="000000"/>
          <w:sz w:val="44"/>
          <w:szCs w:val="44"/>
        </w:rPr>
        <w:t>锦州市人民代表大会常务委员会关于修改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pacing w:val="-6"/>
          <w:sz w:val="44"/>
          <w:szCs w:val="44"/>
        </w:rPr>
      </w:pPr>
      <w:r>
        <w:rPr>
          <w:rFonts w:ascii="宋体" w:hAnsi="宋体" w:cs="宋体" w:hint="eastAsia"/>
          <w:b w:val="false"/>
          <w:bCs w:val="false"/>
          <w:color w:val="000000"/>
          <w:spacing w:val="-6"/>
          <w:sz w:val="44"/>
          <w:szCs w:val="44"/>
          <w:shd w:fill="FFFFFF" w:val="clear"/>
        </w:rPr>
        <w:t>《</w:t>
      </w:r>
      <w:r>
        <w:rPr>
          <w:rFonts w:ascii="宋体" w:hAnsi="宋体" w:cs="宋体" w:hint="eastAsia"/>
          <w:b w:val="false"/>
          <w:bCs w:val="false"/>
          <w:color w:val="000000"/>
          <w:spacing w:val="-6"/>
          <w:kern w:val="0"/>
          <w:sz w:val="44"/>
          <w:szCs w:val="44"/>
          <w:shd w:fill="FFFFFF" w:val="clear"/>
        </w:rPr>
        <w:t>锦州市锦凌水库饮用水水源保护条例</w:t>
      </w:r>
      <w:r>
        <w:rPr>
          <w:rFonts w:ascii="宋体" w:hAnsi="宋体" w:cs="宋体" w:hint="eastAsia"/>
          <w:b w:val="false"/>
          <w:bCs w:val="false"/>
          <w:color w:val="000000"/>
          <w:spacing w:val="-6"/>
          <w:sz w:val="44"/>
          <w:szCs w:val="44"/>
          <w:shd w:fill="FFFFFF" w:val="clear"/>
        </w:rPr>
        <w:t>》</w:t>
      </w:r>
      <w:r>
        <w:rPr>
          <w:rFonts w:ascii="宋体" w:hAnsi="宋体" w:cs="宋体" w:hint="eastAsia"/>
          <w:b w:val="false"/>
          <w:bCs w:val="false"/>
          <w:color w:val="000000"/>
          <w:spacing w:val="-6"/>
          <w:sz w:val="44"/>
          <w:szCs w:val="44"/>
        </w:rPr>
        <w:t>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200" w:endChars="200"/>
        <w:jc w:val="center"/>
        <w:textAlignment w:val="auto"/>
        <w:rPr>
          <w:rFonts w:ascii="楷体" w:hAnsi="楷体" w:eastAsia="楷体" w:cs="楷体" w:hint="eastAsia"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color w:val="000000"/>
          <w:sz w:val="32"/>
          <w:szCs w:val="32"/>
        </w:rPr>
        <w:t>（</w:t>
      </w:r>
      <w:r>
        <w:rPr>
          <w:rFonts w:eastAsia="楷体" w:cs="楷体" w:hint="eastAsia" w:ascii="楷体" w:hAnsi="楷体"/>
          <w:color w:val="000000"/>
          <w:sz w:val="32"/>
          <w:szCs w:val="32"/>
        </w:rPr>
        <w:t>2020</w:t>
      </w:r>
      <w:r>
        <w:rPr>
          <w:rFonts w:ascii="楷体" w:hAnsi="楷体" w:cs="楷体" w:hint="eastAsia" w:eastAsia="楷体"/>
          <w:color w:val="000000"/>
          <w:sz w:val="32"/>
          <w:szCs w:val="32"/>
        </w:rPr>
        <w:t>年</w:t>
      </w:r>
      <w:r>
        <w:rPr>
          <w:rFonts w:eastAsia="楷体" w:cs="楷体" w:hint="eastAsia" w:ascii="楷体" w:hAnsi="楷体"/>
          <w:color w:val="000000"/>
          <w:sz w:val="32"/>
          <w:szCs w:val="32"/>
        </w:rPr>
        <w:t>11</w:t>
      </w:r>
      <w:r>
        <w:rPr>
          <w:rFonts w:ascii="楷体" w:hAnsi="楷体" w:cs="楷体" w:hint="eastAsia" w:eastAsia="楷体"/>
          <w:color w:val="000000"/>
          <w:sz w:val="32"/>
          <w:szCs w:val="32"/>
        </w:rPr>
        <w:t>月</w:t>
      </w:r>
      <w:r>
        <w:rPr>
          <w:rFonts w:eastAsia="楷体" w:cs="楷体" w:hint="eastAsia" w:ascii="楷体" w:hAnsi="楷体"/>
          <w:color w:val="000000"/>
          <w:sz w:val="32"/>
          <w:szCs w:val="32"/>
        </w:rPr>
        <w:t>10</w:t>
      </w:r>
      <w:r>
        <w:rPr>
          <w:rFonts w:ascii="楷体" w:hAnsi="楷体" w:cs="楷体" w:hint="eastAsia" w:eastAsia="楷体"/>
          <w:color w:val="000000"/>
          <w:sz w:val="32"/>
          <w:szCs w:val="32"/>
        </w:rPr>
        <w:t>日锦州市第十六届人民代表大会常务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200" w:endChars="200"/>
        <w:jc w:val="center"/>
        <w:textAlignment w:val="auto"/>
        <w:rPr>
          <w:rFonts w:ascii="楷体_GB2312" w:hAnsi="楷体_GB2312" w:eastAsia="楷体_GB2312" w:cs="楷体_GB2312" w:hint="eastAsia"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color w:val="000000"/>
          <w:sz w:val="32"/>
          <w:szCs w:val="32"/>
        </w:rPr>
        <w:t>委员会</w:t>
      </w:r>
      <w:r>
        <w:rPr>
          <w:rFonts w:ascii="楷体" w:hAnsi="楷体" w:cs="楷体" w:hint="eastAsia" w:eastAsia="楷体"/>
          <w:bCs/>
          <w:color w:val="000000"/>
          <w:sz w:val="32"/>
          <w:szCs w:val="32"/>
        </w:rPr>
        <w:t>第二十四</w:t>
      </w:r>
      <w:r>
        <w:rPr>
          <w:rFonts w:ascii="楷体" w:hAnsi="楷体" w:cs="楷体" w:hint="eastAsia" w:eastAsia="楷体"/>
          <w:color w:val="000000"/>
          <w:sz w:val="32"/>
          <w:szCs w:val="32"/>
        </w:rPr>
        <w:t xml:space="preserve">次会议通过  </w:t>
      </w: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11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24</w:t>
      </w: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日辽宁省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200" w:endChars="200"/>
        <w:jc w:val="center"/>
        <w:textAlignment w:val="auto"/>
        <w:rPr>
          <w:rFonts w:ascii="楷体" w:hAnsi="楷体" w:eastAsia="楷体" w:cs="楷体" w:hint="eastAsia"/>
          <w:color w:val="000000"/>
          <w:sz w:val="32"/>
          <w:szCs w:val="32"/>
        </w:rPr>
      </w:pPr>
      <w:r>
        <w:rPr>
          <w:rFonts w:ascii="楷体_GB2312" w:hAnsi="楷体_GB2312" w:cs="楷体_GB2312" w:hint="eastAsia" w:eastAsia="楷体_GB2312"/>
          <w:color w:val="000000"/>
          <w:sz w:val="32"/>
          <w:szCs w:val="32"/>
        </w:rPr>
        <w:t>第十三届人民代表大会常务委员会第二十三次会议批准</w:t>
      </w:r>
      <w:r>
        <w:rPr>
          <w:rFonts w:ascii="楷体" w:hAnsi="楷体" w:cs="楷体" w:hint="eastAsia" w:eastAsia="楷体"/>
          <w:color w:val="000000"/>
          <w:sz w:val="32"/>
          <w:szCs w:val="32"/>
        </w:rPr>
        <w:t>）</w:t>
      </w:r>
      <w:r>
        <w:rPr>
          <w:rFonts w:eastAsia="楷体" w:cs="楷体" w:hint="eastAsia" w:ascii="楷体" w:hAnsi="楷体"/>
          <w:color w:val="000000"/>
          <w:sz w:val="32"/>
          <w:szCs w:val="32"/>
        </w:rPr>
        <w:br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0" w:firstLine="0" w:startChars="0" w:start="0" w:endChars="0" w:end="0"/>
        <w:jc w:val="center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color w:val="000000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锦州市第十六届人民代表大会常务委员会第二十四次会议决定，对《</w:t>
      </w:r>
      <w:r>
        <w:rPr>
          <w:rFonts w:ascii="仿宋" w:hAnsi="仿宋" w:cs="仿宋" w:hint="eastAsia" w:eastAsia="仿宋"/>
          <w:color w:val="000000"/>
          <w:kern w:val="0"/>
          <w:sz w:val="32"/>
          <w:szCs w:val="32"/>
          <w:shd w:fill="FFFFFF" w:val="clear"/>
        </w:rPr>
        <w:t>锦州市锦凌水库饮用水水源保护条例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》作如下修改：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一、在第九条第一款第（二）项禁止行为中增加网箱养殖。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二、删去第十七条第（二）项、第（三）项规定。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三、第十七条第（四）项、第（五）项规定合并为一项，修改为“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在一级保护区从事网箱养殖、农业种植或者组织进行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水上训练、露营、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餐饮</w:t>
      </w:r>
      <w:r>
        <w:rPr>
          <w:rFonts w:ascii="仿宋_GB2312" w:hAnsi="仿宋_GB2312" w:cs="仿宋_GB2312" w:hint="eastAsia" w:eastAsia="仿宋_GB2312"/>
          <w:b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shd w:fill="FFFFFF" w:val="clear"/>
        </w:rPr>
        <w:t>或者其他可能污染饮用水水体的活动的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，</w:t>
      </w:r>
      <w:r>
        <w:rPr>
          <w:rFonts w:ascii="仿宋_GB2312" w:hAnsi="仿宋_GB2312" w:cs="仿宋_GB2312" w:hint="eastAsia" w:eastAsia="仿宋_GB2312"/>
          <w:b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shd w:fill="FFFFFF" w:val="clear"/>
        </w:rPr>
        <w:t>处二万元以上十万元以下的罚款；个人在一级保护区内进行农业种植、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水上训练、露营、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餐饮</w:t>
      </w:r>
      <w:r>
        <w:rPr>
          <w:rFonts w:ascii="仿宋_GB2312" w:hAnsi="仿宋_GB2312" w:cs="仿宋_GB2312" w:hint="eastAsia" w:eastAsia="仿宋_GB2312"/>
          <w:b w:val="false"/>
          <w:i w:val="false"/>
          <w:caps w:val="false"/>
          <w:smallCaps w:val="false"/>
          <w:color w:val="000000"/>
          <w:spacing w:val="0"/>
          <w:kern w:val="0"/>
          <w:sz w:val="32"/>
          <w:szCs w:val="32"/>
          <w:shd w:fill="FFFFFF" w:val="clear"/>
        </w:rPr>
        <w:t>或者从事其他可能污染饮用水水体的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活动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的，可以处五百元以下的罚款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四、第十七条第（六）项修改为“个人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在一级保护区放养畜禽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，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在水体中</w:t>
      </w: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  <w:shd w:fill="FFFFFF" w:val="clear"/>
        </w:rPr>
        <w:t>洗刷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衣物或者其他生活物品的</w:t>
      </w: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  <w:shd w:fill="FFFFFF" w:val="clear"/>
        </w:rPr>
        <w:t>，</w:t>
      </w:r>
      <w:r>
        <w:rPr>
          <w:rFonts w:ascii="仿宋_GB2312" w:hAnsi="仿宋_GB2312" w:cs="仿宋_GB2312" w:hint="eastAsia" w:eastAsia="仿宋_GB2312"/>
          <w:color w:val="000000"/>
          <w:kern w:val="0"/>
          <w:sz w:val="32"/>
          <w:szCs w:val="32"/>
        </w:rPr>
        <w:t>可以处五百元以下的罚款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”</w:t>
      </w: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  <w:shd w:fill="FFFFFF" w:val="cle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《</w:t>
      </w:r>
      <w:r>
        <w:rPr>
          <w:rFonts w:ascii="仿宋" w:hAnsi="仿宋" w:cs="仿宋" w:hint="eastAsia" w:eastAsia="仿宋"/>
          <w:color w:val="000000"/>
          <w:kern w:val="0"/>
          <w:sz w:val="32"/>
          <w:szCs w:val="32"/>
          <w:shd w:fill="FFFFFF" w:val="clear"/>
        </w:rPr>
        <w:t>锦州市锦凌水库饮用水水源保护条例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》根据本决定作相应修改，重新公布。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80" w:before="0" w:after="0"/>
        <w:textAlignment w:val="auto"/>
        <w:rPr>
          <w:rFonts w:ascii="仿宋_GB2312" w:hAnsi="仿宋_GB2312" w:eastAsia="仿宋_GB2312" w:cs="仿宋_GB2312"/>
          <w:color w:val="000000"/>
          <w:sz w:val="32"/>
          <w:szCs w:val="32"/>
        </w:rPr>
      </w:pPr>
      <w:r>
        <w:rPr>
          <w:rFonts w:eastAsia="仿宋_GB2312" w:cs="仿宋_GB2312" w:ascii="仿宋_GB2312" w:hAnsi="仿宋_GB2312"/>
          <w:color w:val="000000"/>
          <w:sz w:val="32"/>
          <w:szCs w:val="32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87" w:right="1474" w:gutter="0" w:header="851" w:top="2098" w:footer="1559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MingLiU">
    <w:charset w:val="88"/>
    <w:family w:val="auto"/>
    <w:pitch w:val="default"/>
  </w:font>
  <w:font w:name="仿宋_GB2312">
    <w:charset w:val="86"/>
    <w:family w:val="auto"/>
    <w:pitch w:val="default"/>
  </w:font>
  <w:font w:name="Calibri">
    <w:charset w:val="00" w:characterSet="windows-1252"/>
    <w:family w:val="auto"/>
    <w:pitch w:val="default"/>
  </w:font>
  <w:font w:name="宋体">
    <w:charset w:val="86"/>
    <w:family w:val="auto"/>
    <w:pitch w:val="default"/>
  </w:font>
  <w:font w:name="楷体">
    <w:charset w:val="86"/>
    <w:family w:val="auto"/>
    <w:pitch w:val="default"/>
  </w:font>
  <w:font w:name="楷体_GB2312">
    <w:charset w:val="86"/>
    <w:family w:val="auto"/>
    <w:pitch w:val="default"/>
  </w:font>
  <w:font w:name="仿宋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hint="eastAsia"/>
      </w:rPr>
      <w:t xml:space="preserve"> </w:t>
    </w:r>
    <w:r>
      <w:rPr>
        <w:rFonts w:eastAsia="宋体" w:cs="宋体" w:hint="eastAsia" w:ascii="宋体" w:hAnsi="宋体"/>
        <w:sz w:val="28"/>
      </w:rPr>
      <w:t xml:space="preserve"> </w:t>
    </w:r>
    <w:r>
      <w:rPr>
        <w:rFonts w:eastAsia="宋体" w:cs="宋体" w:hint="eastAsia" w:ascii="宋体" w:hAnsi="宋体"/>
        <w:sz w:val="28"/>
      </w:rPr>
      <w:t xml:space="preserve">- </w:t>
    </w:r>
    <w:r>
      <w:rPr>
        <w:rFonts w:cs="宋体" w:hint="eastAsia" w:ascii="宋体" w:hAnsi="宋体"/>
        <w:sz w:val="28"/>
      </w:rPr>
      <w:t>2</w:t>
    </w:r>
    <w:r>
      <w:rPr>
        <w:rFonts w:eastAsia="宋体" w:cs="宋体" w:hint="eastAsia" w:ascii="宋体" w:hAnsi="宋体"/>
        <w:sz w:val="28"/>
      </w:rPr>
      <w:t xml:space="preserve"> -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ewNew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0" distR="114935" simplePos="0" relativeHeight="2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33655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65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ewNew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    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.65pt;height:11.1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ewNew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     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/>
    </w:pPr>
    <w:r>
      <w:rPr>
        <w:rFonts w:hint="eastAsia"/>
      </w:rPr>
      <w:t xml:space="preserve">                                                                          </w:t>
    </w:r>
    <w:r>
      <w:rPr>
        <w:rFonts w:eastAsia="宋体" w:cs="宋体" w:hint="eastAsia" w:ascii="宋体" w:hAnsi="宋体"/>
        <w:sz w:val="28"/>
      </w:rPr>
      <w:t xml:space="preserve"> </w:t>
    </w:r>
    <w:r>
      <w:rPr>
        <w:rFonts w:eastAsia="宋体" w:cs="宋体" w:hint="eastAsia" w:ascii="宋体" w:hAnsi="宋体"/>
        <w:sz w:val="28"/>
      </w:rPr>
      <w:t>- 1 -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evenAndOddHeaders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hi-I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正文文本1"/>
    <w:basedOn w:val="Normal"/>
    <w:qFormat/>
    <w:pPr>
      <w:widowControl w:val="false"/>
      <w:shd w:fill="FFFFFF" w:val="clear"/>
      <w:spacing w:lineRule="auto" w:line="432"/>
      <w:ind w:firstLine="400" w:start="0" w:end="0"/>
      <w:jc w:val="distribute"/>
    </w:pPr>
    <w:rPr>
      <w:rFonts w:ascii="MingLiU" w:hAnsi="MingLiU" w:eastAsia="MingLiU" w:cs="MingLiU"/>
      <w:sz w:val="28"/>
      <w:szCs w:val="28"/>
      <w:u w:val="none"/>
    </w:rPr>
  </w:style>
  <w:style w:type="paragraph" w:styleId="p0">
    <w:name w:val="p0"/>
    <w:basedOn w:val="Normal"/>
    <w:qFormat/>
    <w:pPr>
      <w:widowControl/>
    </w:pPr>
    <w:rPr>
      <w:rFonts w:ascii="仿宋_GB2312" w:hAnsi="仿宋_GB2312" w:eastAsia="仿宋_GB2312" w:cs="宋体"/>
      <w:kern w:val="0"/>
      <w:sz w:val="32"/>
      <w:szCs w:val="32"/>
    </w:rPr>
  </w:style>
  <w:style w:type="paragraph" w:styleId="3-">
    <w:name w:val="3-正文"/>
    <w:basedOn w:val="Normal"/>
    <w:qFormat/>
    <w:pPr>
      <w:spacing w:lineRule="atLeast" w:line="400"/>
      <w:ind w:firstLineChars="200" w:startChars="0" w:start="0" w:endChars="0" w:end="0"/>
    </w:pPr>
    <w:rPr>
      <w:rFonts w:ascii="Calibri" w:hAnsi="Calibri" w:cs="Calibri"/>
      <w:sz w:val="24"/>
    </w:rPr>
  </w:style>
  <w:style w:type="paragraph" w:styleId="HTML1">
    <w:name w:val="HTML 地址1"/>
    <w:basedOn w:val="Normal"/>
    <w:qFormat/>
    <w:pPr>
      <w:widowControl/>
      <w:jc w:val="start"/>
    </w:pPr>
    <w:rPr>
      <w:rFonts w:ascii="宋体" w:hAnsi="宋体" w:cs="宋体"/>
      <w:kern w:val="0"/>
      <w:sz w:val="24"/>
    </w:rPr>
  </w:style>
  <w:style w:type="paragraph" w:styleId="New">
    <w:name w:val="页脚 New"/>
    <w:qFormat/>
    <w:pPr>
      <w:widowControl/>
      <w:tabs>
        <w:tab w:val="clear" w:pos="420"/>
        <w:tab w:val="center" w:pos="4153" w:leader="none"/>
        <w:tab w:val="right" w:pos="8306" w:leader="none"/>
      </w:tabs>
      <w:bidi w:val="0"/>
      <w:snapToGrid w:val="false"/>
      <w:jc w:val="start"/>
    </w:pPr>
    <w:rPr>
      <w:rFonts w:ascii="Times New Roman" w:hAnsi="Times New Roman" w:eastAsia="宋体" w:cs="Times New Roman"/>
      <w:color w:val="auto"/>
      <w:sz w:val="18"/>
      <w:szCs w:val="20"/>
      <w:lang w:val="en-US" w:eastAsia="zh-CN" w:bidi="hi-IN"/>
    </w:rPr>
  </w:style>
  <w:style w:type="paragraph" w:styleId="New1">
    <w:name w:val="正文 New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hi-IN"/>
    </w:rPr>
  </w:style>
  <w:style w:type="paragraph" w:styleId="NewNew">
    <w:name w:val="页脚 New New"/>
    <w:basedOn w:val="New1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NewNewNew">
    <w:name w:val="页脚 New New New"/>
    <w:qFormat/>
    <w:pPr>
      <w:widowControl/>
      <w:tabs>
        <w:tab w:val="clear" w:pos="420"/>
        <w:tab w:val="center" w:pos="4153" w:leader="none"/>
        <w:tab w:val="right" w:pos="8306" w:leader="none"/>
      </w:tabs>
      <w:bidi w:val="0"/>
      <w:snapToGrid w:val="false"/>
      <w:jc w:val="start"/>
    </w:pPr>
    <w:rPr>
      <w:rFonts w:ascii="Times New Roman" w:hAnsi="Times New Roman" w:eastAsia="宋体" w:cs="Times New Roman"/>
      <w:color w:val="auto"/>
      <w:sz w:val="18"/>
      <w:szCs w:val="20"/>
      <w:lang w:val="en-US" w:eastAsia="zh-CN" w:bidi="hi-IN"/>
    </w:rPr>
  </w:style>
  <w:style w:type="paragraph" w:styleId="NewNewNewNew">
    <w:name w:val="页脚 New New New New"/>
    <w:qFormat/>
    <w:pPr>
      <w:widowControl/>
      <w:tabs>
        <w:tab w:val="clear" w:pos="420"/>
        <w:tab w:val="center" w:pos="4153" w:leader="none"/>
        <w:tab w:val="right" w:pos="8306" w:leader="none"/>
      </w:tabs>
      <w:bidi w:val="0"/>
      <w:snapToGrid w:val="false"/>
      <w:jc w:val="start"/>
    </w:pPr>
    <w:rPr>
      <w:rFonts w:ascii="Times New Roman" w:hAnsi="Times New Roman" w:eastAsia="宋体" w:cs="Times New Roman"/>
      <w:color w:val="auto"/>
      <w:sz w:val="18"/>
      <w:szCs w:val="20"/>
      <w:lang w:val="en-US" w:eastAsia="zh-CN" w:bidi="hi-IN"/>
    </w:rPr>
  </w:style>
  <w:style w:type="paragraph" w:styleId="NewNewNewNewNew">
    <w:name w:val="页脚 New New New New New"/>
    <w:qFormat/>
    <w:pPr>
      <w:widowControl/>
      <w:tabs>
        <w:tab w:val="clear" w:pos="420"/>
        <w:tab w:val="center" w:pos="4153" w:leader="none"/>
        <w:tab w:val="right" w:pos="8306" w:leader="none"/>
      </w:tabs>
      <w:bidi w:val="0"/>
      <w:snapToGrid w:val="false"/>
      <w:jc w:val="start"/>
    </w:pPr>
    <w:rPr>
      <w:rFonts w:ascii="Times New Roman" w:hAnsi="Times New Roman" w:eastAsia="宋体" w:cs="Times New Roman"/>
      <w:color w:val="auto"/>
      <w:sz w:val="18"/>
      <w:szCs w:val="20"/>
      <w:lang w:val="en-US" w:eastAsia="zh-CN" w:bidi="hi-I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2019-07-30T16:11:00Z</dcterms:created>
  <dc:creator>Administrator</dc:creator>
  <dc:description/>
  <dc:language>en-US</dc:language>
  <cp:lastModifiedBy/>
  <dcterms:modified xsi:type="dcterms:W3CDTF">2021-01-05T17:16:50Z</dcterms:modified>
  <cp:revision>0</cp:revision>
  <dc:subject/>
  <dc:title>admin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