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auto"/>
        <w:rPr>
          <w:rFonts w:hint="eastAsia"/>
        </w:rPr>
      </w:pPr>
      <w:r>
        <w:rPr>
          <w:rFonts w:hint="eastAsia"/>
        </w:rPr>
      </w:r>
    </w:p>
    <w:p>
      <w:pPr>
        <w:pStyle w:val="BodyText"/>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沈阳市人民代表大会常务委员会</w:t>
      </w:r>
    </w:p>
    <w:p>
      <w:pPr>
        <w:pStyle w:val="BodyText"/>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关于修改《沈阳市物业管理条例》的</w:t>
      </w:r>
    </w:p>
    <w:p>
      <w:pPr>
        <w:pStyle w:val="BodyText"/>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决  定</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b/>
          <w:bCs/>
          <w:kern w:val="0"/>
          <w:sz w:val="24"/>
          <w:szCs w:val="44"/>
        </w:rPr>
      </w:pPr>
      <w:r>
        <w:rPr>
          <w:rFonts w:eastAsia="黑体" w:cs="黑体" w:hint="eastAsia" w:ascii="黑体" w:hAnsi="黑体"/>
          <w:b/>
          <w:bCs/>
          <w:kern w:val="0"/>
          <w:sz w:val="24"/>
          <w:szCs w:val="44"/>
        </w:rPr>
      </w:r>
    </w:p>
    <w:p>
      <w:pPr>
        <w:pStyle w:val="Normal"/>
        <w:keepNext w:val="false"/>
        <w:keepLines w:val="false"/>
        <w:pageBreakBefore w:val="false"/>
        <w:widowControl w:val="false"/>
        <w:kinsoku w:val="true"/>
        <w:overflowPunct w:val="true"/>
        <w:autoSpaceDE w:val="true"/>
        <w:bidi w:val="0"/>
        <w:snapToGrid w:val="true"/>
        <w:spacing w:lineRule="exact" w:line="580"/>
        <w:jc w:val="both"/>
        <w:textAlignment w:val="auto"/>
        <w:rPr>
          <w:rFonts w:ascii="楷体_GB2312;楷体" w:hAnsi="楷体_GB2312;楷体" w:eastAsia="楷体_GB2312;楷体" w:hint="eastAsia"/>
          <w:szCs w:val="32"/>
        </w:rPr>
      </w:pPr>
      <w:r>
        <w:rPr>
          <w:rFonts w:eastAsia="楷体_GB2312;楷体" w:hint="eastAsia" w:ascii="楷体_GB2312;楷体" w:hAnsi="楷体_GB2312;楷体"/>
          <w:szCs w:val="32"/>
        </w:rPr>
        <w:t>(2022</w:t>
      </w:r>
      <w:r>
        <w:rPr>
          <w:rFonts w:ascii="楷体_GB2312;楷体" w:hAnsi="楷体_GB2312;楷体" w:hint="eastAsia" w:eastAsia="楷体_GB2312;楷体"/>
          <w:szCs w:val="32"/>
        </w:rPr>
        <w:t>年</w:t>
      </w:r>
      <w:r>
        <w:rPr>
          <w:rFonts w:eastAsia="楷体_GB2312;楷体" w:hint="eastAsia" w:ascii="楷体_GB2312;楷体" w:hAnsi="楷体_GB2312;楷体"/>
          <w:szCs w:val="32"/>
        </w:rPr>
        <w:t>4</w:t>
      </w:r>
      <w:r>
        <w:rPr>
          <w:rFonts w:ascii="楷体_GB2312;楷体" w:hAnsi="楷体_GB2312;楷体" w:hint="eastAsia" w:eastAsia="楷体_GB2312;楷体"/>
          <w:szCs w:val="32"/>
        </w:rPr>
        <w:t>月</w:t>
      </w:r>
      <w:r>
        <w:rPr>
          <w:rFonts w:eastAsia="楷体_GB2312;楷体" w:hint="eastAsia" w:ascii="楷体_GB2312;楷体" w:hAnsi="楷体_GB2312;楷体"/>
          <w:szCs w:val="32"/>
        </w:rPr>
        <w:t>29</w:t>
      </w:r>
      <w:r>
        <w:rPr>
          <w:rFonts w:ascii="楷体_GB2312;楷体" w:hAnsi="楷体_GB2312;楷体" w:hint="eastAsia" w:eastAsia="楷体_GB2312;楷体"/>
          <w:szCs w:val="32"/>
        </w:rPr>
        <w:t>日沈阳市第十七届人民代表大会常务委员会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580"/>
        <w:jc w:val="both"/>
        <w:textAlignment w:val="auto"/>
        <w:rPr>
          <w:rFonts w:ascii="楷体_GB2312;楷体" w:hAnsi="楷体_GB2312;楷体" w:eastAsia="楷体_GB2312;楷体" w:hint="eastAsia"/>
          <w:szCs w:val="32"/>
        </w:rPr>
      </w:pPr>
      <w:r>
        <w:rPr>
          <w:rFonts w:ascii="楷体_GB2312;楷体" w:hAnsi="楷体_GB2312;楷体" w:hint="eastAsia" w:eastAsia="楷体_GB2312;楷体"/>
          <w:szCs w:val="32"/>
        </w:rPr>
        <w:t>第二次会议通过；</w:t>
      </w:r>
      <w:r>
        <w:rPr>
          <w:rFonts w:eastAsia="楷体_GB2312;楷体" w:hint="eastAsia" w:ascii="楷体_GB2312;楷体" w:hAnsi="楷体_GB2312;楷体"/>
          <w:szCs w:val="32"/>
        </w:rPr>
        <w:t>2022</w:t>
      </w:r>
      <w:r>
        <w:rPr>
          <w:rFonts w:ascii="楷体_GB2312;楷体" w:hAnsi="楷体_GB2312;楷体" w:hint="eastAsia" w:eastAsia="楷体_GB2312;楷体"/>
          <w:szCs w:val="32"/>
        </w:rPr>
        <w:t>年</w:t>
      </w:r>
      <w:r>
        <w:rPr>
          <w:rFonts w:eastAsia="楷体_GB2312;楷体" w:hint="eastAsia" w:ascii="楷体_GB2312;楷体" w:hAnsi="楷体_GB2312;楷体"/>
          <w:szCs w:val="32"/>
        </w:rPr>
        <w:t>5</w:t>
      </w:r>
      <w:r>
        <w:rPr>
          <w:rFonts w:ascii="楷体_GB2312;楷体" w:hAnsi="楷体_GB2312;楷体" w:hint="eastAsia" w:eastAsia="楷体_GB2312;楷体"/>
          <w:szCs w:val="32"/>
        </w:rPr>
        <w:t>月</w:t>
      </w:r>
      <w:r>
        <w:rPr>
          <w:rFonts w:eastAsia="楷体_GB2312;楷体" w:hint="eastAsia" w:ascii="楷体_GB2312;楷体" w:hAnsi="楷体_GB2312;楷体"/>
          <w:szCs w:val="32"/>
        </w:rPr>
        <w:t>31</w:t>
      </w:r>
      <w:r>
        <w:rPr>
          <w:rFonts w:ascii="楷体_GB2312;楷体" w:hAnsi="楷体_GB2312;楷体" w:hint="eastAsia" w:eastAsia="楷体_GB2312;楷体"/>
          <w:szCs w:val="32"/>
        </w:rPr>
        <w:t>日辽宁省第十三届人民代表</w:t>
      </w:r>
    </w:p>
    <w:p>
      <w:pPr>
        <w:pStyle w:val="Normal"/>
        <w:keepNext w:val="false"/>
        <w:keepLines w:val="false"/>
        <w:pageBreakBefore w:val="false"/>
        <w:widowControl w:val="false"/>
        <w:kinsoku w:val="true"/>
        <w:overflowPunct w:val="true"/>
        <w:autoSpaceDE w:val="true"/>
        <w:bidi w:val="0"/>
        <w:snapToGrid w:val="true"/>
        <w:spacing w:lineRule="exact" w:line="580"/>
        <w:jc w:val="both"/>
        <w:textAlignment w:val="auto"/>
        <w:rPr>
          <w:rFonts w:ascii="楷体_GB2312;楷体" w:hAnsi="楷体_GB2312;楷体" w:eastAsia="楷体_GB2312;楷体" w:hint="eastAsia"/>
          <w:szCs w:val="32"/>
        </w:rPr>
      </w:pPr>
      <w:r>
        <w:rPr>
          <w:rFonts w:ascii="楷体_GB2312;楷体" w:hAnsi="楷体_GB2312;楷体" w:hint="eastAsia" w:eastAsia="楷体_GB2312;楷体"/>
          <w:szCs w:val="32"/>
        </w:rPr>
        <w:t>大会常务委员会第三十四次会议批准</w:t>
      </w:r>
      <w:r>
        <w:rPr>
          <w:rFonts w:eastAsia="楷体_GB2312;楷体" w:hint="eastAsia" w:ascii="楷体_GB2312;楷体" w:hAnsi="楷体_GB2312;楷体"/>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楷体_GB2312;楷体" w:hAnsi="楷体_GB2312;楷体" w:eastAsia="楷体_GB2312;楷体" w:cs="宋体" w:hint="eastAsia"/>
          <w:bCs/>
          <w:kern w:val="0"/>
          <w:sz w:val="32"/>
          <w:szCs w:val="32"/>
        </w:rPr>
      </w:pPr>
      <w:r>
        <w:rPr>
          <w:rFonts w:eastAsia="楷体_GB2312;楷体" w:cs="宋体" w:hint="eastAsia" w:ascii="楷体_GB2312;楷体" w:hAnsi="楷体_GB2312;楷体"/>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rPr>
      </w:pPr>
      <w:r>
        <w:rPr>
          <w:rFonts w:ascii="仿宋_GB2312;仿宋" w:hAnsi="仿宋_GB2312;仿宋" w:cs="仿宋_GB2312;仿宋" w:hint="eastAsia" w:eastAsia="仿宋_GB2312;仿宋"/>
        </w:rPr>
        <w:t>沈阳市第十七届人民代表大会常务委员会第二次会议决定对《沈阳市物业管理条例》作出修改：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rPr>
      </w:pPr>
      <w:r>
        <w:rPr>
          <w:rFonts w:ascii="仿宋_GB2312;仿宋" w:hAnsi="仿宋_GB2312;仿宋" w:cs="仿宋_GB2312;仿宋" w:hint="eastAsia" w:eastAsia="仿宋_GB2312;仿宋"/>
        </w:rPr>
        <w:t>删去第二十二条第三项。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rPr>
      </w:pPr>
      <w:r>
        <w:rPr>
          <w:rFonts w:ascii="仿宋_GB2312;仿宋" w:hAnsi="仿宋_GB2312;仿宋" w:cs="仿宋_GB2312;仿宋" w:hint="eastAsia" w:eastAsia="仿宋_GB2312;仿宋"/>
        </w:rPr>
        <w:t>《沈阳市物业管理条例》第二十二条各项的序号根据本决定作相应调整。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rPr>
      </w:pPr>
      <w:r>
        <w:rPr>
          <w:rFonts w:ascii="仿宋_GB2312;仿宋" w:hAnsi="仿宋_GB2312;仿宋" w:cs="仿宋_GB2312;仿宋" w:hint="eastAsia" w:eastAsia="仿宋_GB2312;仿宋"/>
        </w:rPr>
        <w:t>本决定自</w:t>
      </w:r>
      <w:r>
        <w:rPr>
          <w:rFonts w:eastAsia="仿宋_GB2312;仿宋" w:cs="仿宋_GB2312;仿宋" w:hint="eastAsia" w:ascii="仿宋_GB2312;仿宋" w:hAnsi="仿宋_GB2312;仿宋"/>
        </w:rPr>
        <w:t>2022</w:t>
      </w:r>
      <w:r>
        <w:rPr>
          <w:rFonts w:ascii="仿宋_GB2312;仿宋" w:hAnsi="仿宋_GB2312;仿宋" w:cs="仿宋_GB2312;仿宋" w:hint="eastAsia" w:eastAsia="仿宋_GB2312;仿宋"/>
        </w:rPr>
        <w:t>年</w:t>
      </w:r>
      <w:r>
        <w:rPr>
          <w:rFonts w:eastAsia="仿宋_GB2312;仿宋" w:cs="仿宋_GB2312;仿宋" w:hint="eastAsia" w:ascii="仿宋_GB2312;仿宋" w:hAnsi="仿宋_GB2312;仿宋"/>
        </w:rPr>
        <w:t>7</w:t>
      </w:r>
      <w:r>
        <w:rPr>
          <w:rFonts w:ascii="仿宋_GB2312;仿宋" w:hAnsi="仿宋_GB2312;仿宋" w:cs="仿宋_GB2312;仿宋" w:hint="eastAsia" w:eastAsia="仿宋_GB2312;仿宋"/>
        </w:rPr>
        <w:t>月</w:t>
      </w:r>
      <w:r>
        <w:rPr>
          <w:rFonts w:eastAsia="仿宋_GB2312;仿宋" w:cs="仿宋_GB2312;仿宋" w:hint="eastAsia" w:ascii="仿宋_GB2312;仿宋" w:hAnsi="仿宋_GB2312;仿宋"/>
        </w:rPr>
        <w:t>1</w:t>
      </w:r>
      <w:r>
        <w:rPr>
          <w:rFonts w:ascii="仿宋_GB2312;仿宋" w:hAnsi="仿宋_GB2312;仿宋" w:cs="仿宋_GB2312;仿宋" w:hint="eastAsia" w:eastAsia="仿宋_GB2312;仿宋"/>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仿宋" w:hAnsi="仿宋_GB2312;仿宋" w:eastAsia="仿宋_GB2312;仿宋" w:cs="仿宋_GB2312;仿宋" w:hint="eastAsia"/>
        </w:rPr>
      </w:pPr>
      <w:r>
        <w:rPr>
          <w:rFonts w:ascii="仿宋_GB2312;仿宋" w:hAnsi="仿宋_GB2312;仿宋" w:cs="仿宋_GB2312;仿宋" w:hint="eastAsia" w:eastAsia="仿宋_GB2312;仿宋"/>
        </w:rPr>
        <w:t>《沈阳市物业管理条例》根据本决定作相应修改，重新公布。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sectPr>
      <w:headerReference w:type="default" r:id="rId2"/>
      <w:footerReference w:type="default" r:id="rId3"/>
      <w:type w:val="nextPage"/>
      <w:pgSz w:w="11906" w:h="16838"/>
      <w:pgMar w:left="1587" w:right="1474" w:gutter="0" w:header="851" w:top="2041" w:footer="1474"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黑体">
    <w:charset w:val="86"/>
    <w:family w:val="auto"/>
    <w:pitch w:val="default"/>
  </w:font>
  <w:font w:name="楷体_GB2312">
    <w:altName w:val="楷体"/>
    <w:charset w:val="86"/>
    <w:family w:val="modern"/>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 behindDoc="1" locked="0" layoutInCell="0" allowOverlap="1">
              <wp:simplePos x="0" y="0"/>
              <wp:positionH relativeFrom="margin">
                <wp:align>outside</wp:align>
              </wp:positionH>
              <wp:positionV relativeFrom="paragraph">
                <wp:posOffset>635</wp:posOffset>
              </wp:positionV>
              <wp:extent cx="1076960" cy="303530"/>
              <wp:effectExtent l="0" t="0" r="0" b="0"/>
              <wp:wrapNone/>
              <wp:docPr id="1" name="Frame1"/>
              <a:graphic xmlns:a="http://schemas.openxmlformats.org/drawingml/2006/main">
                <a:graphicData uri="http://schemas.microsoft.com/office/word/2010/wordprocessingShape">
                  <wps:wsp>
                    <wps:cNvSpPr txBox="1"/>
                    <wps:spPr>
                      <a:xfrm>
                        <a:off x="0" y="0"/>
                        <a:ext cx="1076960" cy="303530"/>
                      </a:xfrm>
                      <a:prstGeom prst="rect"/>
                      <a:solidFill>
                        <a:srgbClr val="FFFFFF">
                          <a:alpha val="0"/>
                        </a:srgbClr>
                      </a:solidFill>
                    </wps:spPr>
                    <wps:txbx>
                      <w:txbxContent>
                        <w:p>
                          <w:pPr>
                            <w:pStyle w:val="Footer"/>
                            <w:jc w:val="cen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w:t>
                          </w:r>
                          <w:r>
                            <w:rPr>
                              <w:rFonts w:cs="Times New Roman" w:ascii="Times New Roman" w:hAnsi="Times New Roman"/>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84.8pt;height:23.9pt;mso-wrap-distance-left:9.05pt;mso-wrap-distance-right:0pt;mso-wrap-distance-top:0pt;mso-wrap-distance-bottom:0pt;margin-top:0pt;mso-position-vertical-relative:text;margin-left:357.45pt;mso-position-horizontal:outside;mso-position-horizontal-relative:margin">
              <v:fill opacity="0f"/>
              <v:textbox inset="0.000694444444444445in,0.000694444444444445in,0.000694444444444445in,0.000694444444444445in">
                <w:txbxContent>
                  <w:p>
                    <w:pPr>
                      <w:pStyle w:val="Footer"/>
                      <w:jc w:val="center"/>
                      <w:rPr/>
                    </w:pPr>
                    <w:r>
                      <w:rPr>
                        <w:rFonts w:hint="eastAsia"/>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w:t>
                    </w:r>
                    <w:r>
                      <w:rPr>
                        <w:rFonts w:cs="Times New Roman" w:ascii="Times New Roman" w:hAnsi="Times New Roman"/>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character" w:styleId="Strong">
    <w:name w:val="Strong"/>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100" w:after="100"/>
      <w:jc w:val="start"/>
    </w:pPr>
    <w:rPr>
      <w:rFonts w:ascii="宋体" w:hAnsi="宋体" w:cs="宋体"/>
      <w:kern w:val="0"/>
      <w:sz w:val="24"/>
      <w:szCs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ormalWeb">
    <w:name w:val="Normal (Web)"/>
    <w:qFormat/>
    <w:pPr>
      <w:widowControl/>
      <w:bidi w:val="0"/>
      <w:spacing w:before="0" w:after="0"/>
      <w:ind w:hanging="0" w:start="0" w:end="0"/>
      <w:jc w:val="start"/>
    </w:pPr>
    <w:rPr>
      <w:rFonts w:ascii="Calibri" w:hAnsi="Calibri" w:eastAsia="宋体" w:cs="Times New Roman"/>
      <w:color w:val="auto"/>
      <w:kern w:val="0"/>
      <w:sz w:val="24"/>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2021-06-09T17:42:51Z</dcterms:created>
  <dc:creator>丁浩</dc:creator>
  <dc:description/>
  <dc:language>en-US</dc:language>
  <cp:lastModifiedBy>PC400</cp:lastModifiedBy>
  <dcterms:modified xsi:type="dcterms:W3CDTF">2022-07-05T16:47:53Z</dcterms:modified>
  <cp:revision>1</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DFAC89FB96064C8894191FF08D6C0868</vt:lpwstr>
  </property>
  <property fmtid="{D5CDD505-2E9C-101B-9397-08002B2CF9AE}" pid="3" name="KSOProductBuildVer">
    <vt:lpwstr>2052-11.1.0.11830</vt:lpwstr>
  </property>
</Properties>
</file>