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70"/>
        <w:jc w:val="center"/>
        <w:textAlignment w:val="auto"/>
        <w:rPr>
          <w:rFonts w:ascii="宋体" w:hAnsi="宋体" w:eastAsia="宋体" w:cs="仿宋" w:hint="eastAsia"/>
          <w:color w:val="000000"/>
          <w:sz w:val="32"/>
          <w:szCs w:val="32"/>
        </w:rPr>
      </w:pPr>
      <w:r>
        <w:rPr>
          <w:rFonts w:eastAsia="宋体" w:cs="仿宋" w:hint="eastAsia" w:ascii="宋体" w:hAnsi="宋体"/>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0"/>
        <w:jc w:val="center"/>
        <w:textAlignment w:val="auto"/>
        <w:rPr>
          <w:rFonts w:ascii="宋体" w:hAnsi="宋体" w:eastAsia="宋体" w:cs="仿宋" w:hint="eastAsia"/>
          <w:color w:val="000000"/>
          <w:sz w:val="32"/>
          <w:szCs w:val="32"/>
        </w:rPr>
      </w:pPr>
      <w:r>
        <w:rPr>
          <w:rFonts w:eastAsia="宋体" w:cs="仿宋" w:hint="eastAsia" w:ascii="宋体" w:hAnsi="宋体"/>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0"/>
        <w:jc w:val="center"/>
        <w:textAlignment w:val="auto"/>
        <w:rPr>
          <w:rFonts w:ascii="宋体" w:hAnsi="宋体" w:eastAsia="宋体" w:cs="宋体" w:hint="eastAsia"/>
          <w:color w:val="000000"/>
          <w:sz w:val="44"/>
          <w:szCs w:val="44"/>
        </w:rPr>
      </w:pPr>
      <w:r>
        <w:rPr>
          <w:rFonts w:ascii="宋体" w:hAnsi="宋体" w:cs="宋体" w:hint="eastAsia"/>
          <w:color w:val="000000"/>
          <w:sz w:val="44"/>
          <w:szCs w:val="44"/>
        </w:rPr>
        <w:t>辽宁省城市供热条例</w:t>
      </w:r>
    </w:p>
    <w:p>
      <w:pPr>
        <w:pStyle w:val="Normal"/>
        <w:keepNext w:val="false"/>
        <w:keepLines w:val="false"/>
        <w:pageBreakBefore w:val="false"/>
        <w:widowControl w:val="false"/>
        <w:kinsoku w:val="true"/>
        <w:overflowPunct w:val="true"/>
        <w:autoSpaceDE w:val="true"/>
        <w:bidi w:val="0"/>
        <w:snapToGrid w:val="true"/>
        <w:spacing w:lineRule="exact" w:line="570"/>
        <w:jc w:val="center"/>
        <w:textAlignment w:val="auto"/>
        <w:rPr>
          <w:rFonts w:ascii="宋体" w:hAnsi="宋体" w:eastAsia="宋体" w:cs="仿宋" w:hint="eastAsia"/>
          <w:color w:val="000000"/>
          <w:sz w:val="32"/>
          <w:szCs w:val="32"/>
        </w:rPr>
      </w:pPr>
      <w:r>
        <w:rPr>
          <w:rFonts w:eastAsia="宋体" w:cs="仿宋" w:hint="eastAsia" w:ascii="宋体" w:hAnsi="宋体"/>
          <w:color w:val="000000"/>
          <w:sz w:val="32"/>
          <w:szCs w:val="32"/>
        </w:rPr>
      </w:r>
    </w:p>
    <w:p>
      <w:pPr>
        <w:pStyle w:val="TOC1"/>
        <w:keepNext w:val="false"/>
        <w:keepLines w:val="false"/>
        <w:pageBreakBefore w:val="false"/>
        <w:widowControl w:val="false"/>
        <w:kinsoku w:val="true"/>
        <w:overflowPunct w:val="true"/>
        <w:autoSpaceDE w:val="true"/>
        <w:bidi w:val="0"/>
        <w:snapToGrid w:val="true"/>
        <w:spacing w:lineRule="exact" w:line="570"/>
        <w:textAlignment w:val="auto"/>
        <w:rPr>
          <w:rFonts w:ascii="楷体" w:hAnsi="楷体" w:cs="楷体"/>
          <w:color w:val="000000"/>
          <w:szCs w:val="32"/>
        </w:rPr>
      </w:pPr>
      <w:r>
        <w:rPr>
          <w:rFonts w:hint="eastAsia"/>
          <w:color w:val="000000"/>
        </w:rPr>
        <w:t>（</w:t>
      </w:r>
      <w:r>
        <w:rPr>
          <w:rFonts w:hint="eastAsia"/>
          <w:color w:val="000000"/>
        </w:rPr>
        <w:t>2014</w:t>
      </w:r>
      <w:r>
        <w:rPr>
          <w:rFonts w:hint="eastAsia"/>
          <w:color w:val="000000"/>
        </w:rPr>
        <w:t>年</w:t>
      </w:r>
      <w:r>
        <w:rPr>
          <w:rFonts w:hint="eastAsia"/>
          <w:color w:val="000000"/>
        </w:rPr>
        <w:t>5</w:t>
      </w:r>
      <w:r>
        <w:rPr>
          <w:rFonts w:hint="eastAsia"/>
          <w:color w:val="000000"/>
        </w:rPr>
        <w:t>月</w:t>
      </w:r>
      <w:r>
        <w:rPr>
          <w:rFonts w:hint="eastAsia"/>
          <w:color w:val="000000"/>
        </w:rPr>
        <w:t>30</w:t>
      </w:r>
      <w:r>
        <w:rPr>
          <w:rFonts w:hint="eastAsia"/>
          <w:color w:val="000000"/>
        </w:rPr>
        <w:t xml:space="preserve">日辽宁省第十二届人民代表大会常务委员会第十次会议通过  </w:t>
      </w:r>
      <w:r>
        <w:rPr>
          <w:rFonts w:ascii="楷体_GB2312" w:hAnsi="楷体_GB2312" w:cs="华文楷体" w:hint="eastAsia" w:eastAsia="楷体_GB2312"/>
          <w:color w:val="000000"/>
          <w:sz w:val="32"/>
          <w:szCs w:val="32"/>
        </w:rPr>
        <w:t>根据</w:t>
      </w:r>
      <w:r>
        <w:rPr>
          <w:rFonts w:eastAsia="楷体_GB2312" w:cs="华文楷体" w:hint="eastAsia" w:ascii="楷体_GB2312" w:hAnsi="楷体_GB2312"/>
          <w:color w:val="000000"/>
          <w:sz w:val="32"/>
          <w:szCs w:val="32"/>
        </w:rPr>
        <w:t>2020</w:t>
      </w:r>
      <w:r>
        <w:rPr>
          <w:rFonts w:ascii="楷体_GB2312" w:hAnsi="楷体_GB2312" w:cs="华文楷体" w:hint="eastAsia" w:eastAsia="楷体_GB2312"/>
          <w:color w:val="000000"/>
          <w:sz w:val="32"/>
          <w:szCs w:val="32"/>
        </w:rPr>
        <w:t>年</w:t>
      </w:r>
      <w:r>
        <w:rPr>
          <w:rFonts w:eastAsia="楷体_GB2312" w:cs="华文楷体" w:hint="eastAsia" w:ascii="楷体_GB2312" w:hAnsi="楷体_GB2312"/>
          <w:color w:val="000000"/>
          <w:sz w:val="32"/>
          <w:szCs w:val="32"/>
        </w:rPr>
        <w:t>3</w:t>
      </w:r>
      <w:r>
        <w:rPr>
          <w:rFonts w:ascii="楷体_GB2312" w:hAnsi="楷体_GB2312" w:cs="华文楷体" w:hint="eastAsia" w:eastAsia="楷体_GB2312"/>
          <w:color w:val="000000"/>
          <w:sz w:val="32"/>
          <w:szCs w:val="32"/>
        </w:rPr>
        <w:t>月</w:t>
      </w:r>
      <w:r>
        <w:rPr>
          <w:rFonts w:eastAsia="楷体_GB2312" w:cs="华文楷体" w:hint="eastAsia" w:ascii="楷体_GB2312" w:hAnsi="楷体_GB2312"/>
          <w:color w:val="000000"/>
          <w:sz w:val="32"/>
          <w:szCs w:val="32"/>
        </w:rPr>
        <w:t>30</w:t>
      </w:r>
      <w:r>
        <w:rPr>
          <w:rFonts w:ascii="楷体_GB2312" w:hAnsi="楷体_GB2312" w:cs="华文楷体" w:hint="eastAsia" w:eastAsia="楷体_GB2312"/>
          <w:color w:val="000000"/>
          <w:sz w:val="32"/>
          <w:szCs w:val="32"/>
        </w:rPr>
        <w:t>日辽宁省第十三届人民代表大会常务委员会第十七次会议</w:t>
      </w:r>
      <w:r>
        <w:rPr>
          <w:rFonts w:hint="eastAsia"/>
          <w:color w:val="000000"/>
        </w:rPr>
        <w:t>《关于修改</w:t>
      </w:r>
      <w:r>
        <w:rPr>
          <w:rFonts w:ascii="仿宋" w:hAnsi="仿宋" w:cs="仿宋" w:hint="eastAsia" w:eastAsia="仿宋"/>
          <w:color w:val="000000"/>
        </w:rPr>
        <w:t>〈</w:t>
      </w:r>
      <w:r>
        <w:rPr>
          <w:rFonts w:hint="eastAsia"/>
          <w:color w:val="000000"/>
        </w:rPr>
        <w:t>辽宁省出版管理规定</w:t>
      </w:r>
      <w:r>
        <w:rPr>
          <w:rFonts w:ascii="仿宋" w:hAnsi="仿宋" w:cs="仿宋" w:hint="eastAsia" w:eastAsia="仿宋"/>
          <w:color w:val="000000"/>
        </w:rPr>
        <w:t>〉</w:t>
      </w:r>
      <w:r>
        <w:rPr>
          <w:rFonts w:hint="eastAsia"/>
          <w:color w:val="000000"/>
        </w:rPr>
        <w:t>等</w:t>
      </w:r>
      <w:r>
        <w:rPr>
          <w:rFonts w:hint="eastAsia"/>
          <w:color w:val="000000"/>
        </w:rPr>
        <w:t>27</w:t>
      </w:r>
      <w:r>
        <w:rPr>
          <w:rFonts w:hint="eastAsia"/>
          <w:color w:val="000000"/>
        </w:rPr>
        <w:t>件地方性法规的决定》修正）</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宋体" w:hAnsi="宋体" w:eastAsia="宋体" w:cs="楷体" w:hint="eastAsia"/>
          <w:color w:val="000000"/>
          <w:sz w:val="32"/>
          <w:szCs w:val="32"/>
        </w:rPr>
      </w:pPr>
      <w:r>
        <w:rPr>
          <w:rFonts w:eastAsia="宋体" w:cs="楷体" w:hint="eastAsia" w:ascii="宋体" w:hAnsi="宋体"/>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0"/>
        <w:jc w:val="center"/>
        <w:textAlignment w:val="auto"/>
        <w:rPr>
          <w:rFonts w:ascii="楷体" w:hAnsi="楷体" w:eastAsia="楷体" w:cs="楷体"/>
          <w:color w:val="000000"/>
          <w:sz w:val="32"/>
          <w:szCs w:val="32"/>
        </w:rPr>
      </w:pPr>
      <w:r>
        <w:rPr>
          <w:rFonts w:ascii="楷体" w:hAnsi="楷体" w:cs="楷体" w:hint="eastAsia" w:eastAsia="楷体"/>
          <w:color w:val="000000"/>
          <w:sz w:val="32"/>
          <w:szCs w:val="32"/>
        </w:rPr>
        <w:t>目    录</w:t>
      </w:r>
    </w:p>
    <w:p>
      <w:pPr>
        <w:pStyle w:val="Normal"/>
        <w:keepNext w:val="false"/>
        <w:keepLines w:val="false"/>
        <w:pageBreakBefore w:val="false"/>
        <w:widowControl w:val="false"/>
        <w:kinsoku w:val="true"/>
        <w:overflowPunct w:val="true"/>
        <w:autoSpaceDE w:val="true"/>
        <w:bidi w:val="0"/>
        <w:snapToGrid w:val="true"/>
        <w:spacing w:lineRule="exact" w:line="570"/>
        <w:jc w:val="center"/>
        <w:textAlignment w:val="auto"/>
        <w:rPr>
          <w:rFonts w:ascii="宋体" w:hAnsi="宋体" w:eastAsia="宋体" w:cs="楷体" w:hint="eastAsia"/>
          <w:color w:val="000000"/>
          <w:sz w:val="32"/>
          <w:szCs w:val="32"/>
        </w:rPr>
      </w:pPr>
      <w:r>
        <w:rPr>
          <w:rFonts w:eastAsia="宋体" w:cs="楷体" w:hint="eastAsia" w:ascii="宋体" w:hAnsi="宋体"/>
          <w:color w:val="000000"/>
          <w:sz w:val="32"/>
          <w:szCs w:val="32"/>
        </w:rPr>
      </w:r>
    </w:p>
    <w:sdt>
      <w:sdtPr>
        <w:docPartObj>
          <w:docPartGallery w:val="Table of Contents"/>
          <w:docPartUnique w:val="true"/>
        </w:docPartObj>
      </w:sdtPr>
      <w:sdtContent>
        <w:p>
          <w:pPr>
            <w:pStyle w:val="Style12"/>
            <w:keepNext w:val="false"/>
            <w:keepLines w:val="false"/>
            <w:pageBreakBefore w:val="false"/>
            <w:widowControl w:val="false"/>
            <w:kinsoku w:val="true"/>
            <w:overflowPunct w:val="true"/>
            <w:autoSpaceDE w:val="true"/>
            <w:bidi w:val="0"/>
            <w:snapToGrid w:val="true"/>
            <w:spacing w:lineRule="exact" w:line="570"/>
            <w:ind w:endChars="0" w:end="0"/>
            <w:textAlignment w:val="auto"/>
            <w:rPr>
              <w:color w:val="000000"/>
            </w:rPr>
          </w:pPr>
          <w:r>
            <w:fldChar w:fldCharType="begin"/>
          </w:r>
          <w:r>
            <w:rPr>
              <w:rStyle w:val="IndexLink"/>
              <w:rFonts w:hint="eastAsia"/>
              <w:color w:val="000000"/>
            </w:rPr>
            <w:instrText xml:space="preserve">TOC \o "1-1" \n  \h \u </w:instrText>
          </w:r>
          <w:r>
            <w:rPr>
              <w:rStyle w:val="IndexLink"/>
              <w:rFonts w:hint="eastAsia"/>
              <w:color w:val="000000"/>
            </w:rPr>
            <w:fldChar w:fldCharType="separate"/>
          </w:r>
          <w:hyperlink w:anchor="__RefHeading___Toc32138">
            <w:r>
              <w:rPr>
                <w:rStyle w:val="IndexLink"/>
                <w:rFonts w:hint="eastAsia"/>
                <w:color w:val="000000"/>
              </w:rPr>
              <w:t>第一章  总则</w:t>
            </w:r>
          </w:hyperlink>
        </w:p>
        <w:p>
          <w:pPr>
            <w:pStyle w:val="Style12"/>
            <w:keepNext w:val="false"/>
            <w:keepLines w:val="false"/>
            <w:pageBreakBefore w:val="false"/>
            <w:widowControl w:val="false"/>
            <w:kinsoku w:val="true"/>
            <w:overflowPunct w:val="true"/>
            <w:autoSpaceDE w:val="true"/>
            <w:bidi w:val="0"/>
            <w:snapToGrid w:val="true"/>
            <w:spacing w:lineRule="exact" w:line="570"/>
            <w:ind w:endChars="0" w:end="0"/>
            <w:textAlignment w:val="auto"/>
            <w:rPr>
              <w:color w:val="000000"/>
            </w:rPr>
          </w:pPr>
          <w:hyperlink w:anchor="__RefHeading___Toc25184">
            <w:r>
              <w:rPr>
                <w:rStyle w:val="IndexLink"/>
                <w:rFonts w:hint="eastAsia"/>
                <w:color w:val="000000"/>
              </w:rPr>
              <w:t>第二章  规划与建设</w:t>
            </w:r>
          </w:hyperlink>
        </w:p>
        <w:p>
          <w:pPr>
            <w:pStyle w:val="Style12"/>
            <w:keepNext w:val="false"/>
            <w:keepLines w:val="false"/>
            <w:pageBreakBefore w:val="false"/>
            <w:widowControl w:val="false"/>
            <w:kinsoku w:val="true"/>
            <w:overflowPunct w:val="true"/>
            <w:autoSpaceDE w:val="true"/>
            <w:bidi w:val="0"/>
            <w:snapToGrid w:val="true"/>
            <w:spacing w:lineRule="exact" w:line="570"/>
            <w:ind w:endChars="0" w:end="0"/>
            <w:textAlignment w:val="auto"/>
            <w:rPr>
              <w:color w:val="000000"/>
            </w:rPr>
          </w:pPr>
          <w:hyperlink w:anchor="__RefHeading___Toc4840">
            <w:r>
              <w:rPr>
                <w:rStyle w:val="IndexLink"/>
                <w:rFonts w:hint="eastAsia"/>
                <w:color w:val="000000"/>
              </w:rPr>
              <w:t>第三章  供热与用热</w:t>
            </w:r>
          </w:hyperlink>
        </w:p>
        <w:p>
          <w:pPr>
            <w:pStyle w:val="Style12"/>
            <w:keepNext w:val="false"/>
            <w:keepLines w:val="false"/>
            <w:pageBreakBefore w:val="false"/>
            <w:widowControl w:val="false"/>
            <w:kinsoku w:val="true"/>
            <w:overflowPunct w:val="true"/>
            <w:autoSpaceDE w:val="true"/>
            <w:bidi w:val="0"/>
            <w:snapToGrid w:val="true"/>
            <w:spacing w:lineRule="exact" w:line="570"/>
            <w:ind w:endChars="0" w:end="0"/>
            <w:textAlignment w:val="auto"/>
            <w:rPr>
              <w:color w:val="000000"/>
            </w:rPr>
          </w:pPr>
          <w:hyperlink w:anchor="__RefHeading___Toc7782">
            <w:r>
              <w:rPr>
                <w:rStyle w:val="IndexLink"/>
                <w:rFonts w:hint="eastAsia"/>
                <w:color w:val="000000"/>
              </w:rPr>
              <w:t>第四章  设施管理</w:t>
            </w:r>
          </w:hyperlink>
        </w:p>
        <w:p>
          <w:pPr>
            <w:pStyle w:val="Style12"/>
            <w:keepNext w:val="false"/>
            <w:keepLines w:val="false"/>
            <w:pageBreakBefore w:val="false"/>
            <w:widowControl w:val="false"/>
            <w:kinsoku w:val="true"/>
            <w:overflowPunct w:val="true"/>
            <w:autoSpaceDE w:val="true"/>
            <w:bidi w:val="0"/>
            <w:snapToGrid w:val="true"/>
            <w:spacing w:lineRule="exact" w:line="570"/>
            <w:ind w:endChars="0" w:end="0"/>
            <w:textAlignment w:val="auto"/>
            <w:rPr>
              <w:color w:val="000000"/>
            </w:rPr>
          </w:pPr>
          <w:hyperlink w:anchor="__RefHeading___Toc13850">
            <w:r>
              <w:rPr>
                <w:rStyle w:val="IndexLink"/>
                <w:rFonts w:hint="eastAsia"/>
                <w:color w:val="000000"/>
              </w:rPr>
              <w:t>第五章  法律责任</w:t>
            </w:r>
          </w:hyperlink>
        </w:p>
        <w:p>
          <w:pPr>
            <w:pStyle w:val="Style12"/>
            <w:keepNext w:val="false"/>
            <w:keepLines w:val="false"/>
            <w:pageBreakBefore w:val="false"/>
            <w:widowControl w:val="false"/>
            <w:kinsoku w:val="true"/>
            <w:overflowPunct w:val="true"/>
            <w:autoSpaceDE w:val="true"/>
            <w:bidi w:val="0"/>
            <w:snapToGrid w:val="true"/>
            <w:spacing w:lineRule="exact" w:line="570"/>
            <w:ind w:endChars="0" w:end="0"/>
            <w:textAlignment w:val="auto"/>
            <w:rPr>
              <w:rFonts w:hint="eastAsia"/>
              <w:color w:val="000000"/>
            </w:rPr>
          </w:pPr>
          <w:hyperlink w:anchor="__RefHeading___Toc19490">
            <w:r>
              <w:rPr>
                <w:rStyle w:val="IndexLink"/>
                <w:rFonts w:hint="eastAsia"/>
                <w:color w:val="000000"/>
              </w:rPr>
              <w:t>第六章  附则</w:t>
            </w:r>
          </w:hyperlink>
          <w:r>
            <w:rPr>
              <w:rStyle w:val="IndexLink"/>
              <w:rFonts w:hint="eastAsia"/>
              <w:color w:val="000000"/>
            </w:rPr>
            <w:fldChar w:fldCharType="end"/>
          </w:r>
        </w:p>
      </w:sdtContent>
    </w:sdt>
    <w:p>
      <w:pPr>
        <w:pStyle w:val="Style12"/>
        <w:keepNext w:val="false"/>
        <w:keepLines w:val="false"/>
        <w:pageBreakBefore w:val="false"/>
        <w:widowControl w:val="false"/>
        <w:kinsoku w:val="true"/>
        <w:overflowPunct w:val="true"/>
        <w:autoSpaceDE w:val="true"/>
        <w:bidi w:val="0"/>
        <w:snapToGrid w:val="true"/>
        <w:spacing w:lineRule="exact" w:line="570"/>
        <w:ind w:firstLineChars="0" w:firstLine="0" w:endChars="0" w:end="0"/>
        <w:jc w:val="center"/>
        <w:textAlignment w:val="auto"/>
        <w:rPr>
          <w:rFonts w:ascii="宋体" w:hAnsi="宋体" w:eastAsia="宋体" w:cs="仿宋" w:hint="eastAsia"/>
          <w:color w:val="000000"/>
        </w:rPr>
      </w:pPr>
      <w:r>
        <w:rPr>
          <w:rFonts w:eastAsia="宋体" w:cs="仿宋" w:hint="eastAsia" w:ascii="宋体" w:hAnsi="宋体"/>
          <w:color w:val="000000"/>
        </w:rPr>
      </w:r>
      <w:bookmarkStart w:id="0" w:name="__RefHeading___Toc32138"/>
    </w:p>
    <w:p>
      <w:pPr>
        <w:pStyle w:val="Style12"/>
        <w:keepNext w:val="false"/>
        <w:keepLines w:val="false"/>
        <w:pageBreakBefore w:val="false"/>
        <w:widowControl w:val="false"/>
        <w:kinsoku w:val="true"/>
        <w:overflowPunct w:val="true"/>
        <w:autoSpaceDE w:val="true"/>
        <w:bidi w:val="0"/>
        <w:snapToGrid w:val="true"/>
        <w:spacing w:lineRule="exact" w:line="570"/>
        <w:ind w:firstLineChars="0" w:firstLine="0" w:endChars="0" w:end="0"/>
        <w:jc w:val="center"/>
        <w:textAlignment w:val="auto"/>
        <w:rPr>
          <w:rFonts w:ascii="黑体" w:hAnsi="黑体" w:eastAsia="黑体" w:cs="黑体" w:hint="eastAsia"/>
          <w:color w:val="000000"/>
        </w:rPr>
      </w:pPr>
      <w:r>
        <w:rPr>
          <w:rFonts w:ascii="黑体" w:hAnsi="黑体" w:cs="黑体" w:hint="eastAsia" w:eastAsia="黑体"/>
          <w:color w:val="000000"/>
        </w:rPr>
        <w:t xml:space="preserve">第一章  </w:t>
      </w:r>
      <w:bookmarkEnd w:id="0"/>
      <w:r>
        <w:rPr>
          <w:rFonts w:ascii="黑体" w:hAnsi="黑体" w:cs="黑体" w:hint="eastAsia" w:eastAsia="黑体"/>
          <w:color w:val="000000"/>
        </w:rPr>
        <w:t>总则</w:t>
      </w:r>
    </w:p>
    <w:p>
      <w:pPr>
        <w:pStyle w:val="Style12"/>
        <w:keepNext w:val="false"/>
        <w:keepLines w:val="false"/>
        <w:pageBreakBefore w:val="false"/>
        <w:widowControl w:val="false"/>
        <w:kinsoku w:val="true"/>
        <w:overflowPunct w:val="true"/>
        <w:autoSpaceDE w:val="true"/>
        <w:bidi w:val="0"/>
        <w:snapToGrid w:val="true"/>
        <w:spacing w:lineRule="exact" w:line="570"/>
        <w:ind w:firstLineChars="0" w:firstLine="0" w:endChars="0" w:end="0"/>
        <w:jc w:val="center"/>
        <w:textAlignment w:val="auto"/>
        <w:rPr>
          <w:rFonts w:ascii="宋体" w:hAnsi="宋体" w:eastAsia="宋体" w:cs="仿宋" w:hint="eastAsia"/>
          <w:color w:val="000000"/>
        </w:rPr>
      </w:pPr>
      <w:r>
        <w:rPr>
          <w:rFonts w:eastAsia="宋体" w:cs="仿宋" w:hint="eastAsia" w:ascii="宋体" w:hAnsi="宋体"/>
          <w:color w:val="000000"/>
        </w:rPr>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Style w:val="2CharChar"/>
          <w:rFonts w:hint="eastAsia"/>
          <w:color w:val="000000"/>
        </w:rPr>
        <w:t>第一条</w:t>
      </w:r>
      <w:r>
        <w:rPr>
          <w:rFonts w:ascii="仿宋" w:hAnsi="仿宋" w:cs="仿宋" w:hint="eastAsia" w:eastAsia="仿宋"/>
          <w:color w:val="000000"/>
          <w:sz w:val="32"/>
          <w:szCs w:val="32"/>
        </w:rPr>
        <w:t xml:space="preserve">  为了加强城市供热管理， 维护热用户（以下简称用户）、供热单位和热源单位的合法权益，保护环境，节约能源，提高城市供热质量，根据有关法律、法规，结合本省实际，制定本条例。</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Style w:val="2CharChar"/>
          <w:rFonts w:hint="eastAsia"/>
          <w:color w:val="000000"/>
        </w:rPr>
        <w:t>第二条</w:t>
      </w:r>
      <w:r>
        <w:rPr>
          <w:rFonts w:ascii="仿宋" w:hAnsi="仿宋" w:cs="仿宋" w:hint="eastAsia" w:eastAsia="仿宋"/>
          <w:color w:val="000000"/>
          <w:sz w:val="32"/>
          <w:szCs w:val="32"/>
        </w:rPr>
        <w:t xml:space="preserve">  在本省行政区域内从事城市供热（以下简称供热）规划、建设、经营、管理和用热活动的单位和个人，应当遵守本条例。</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Style w:val="2CharChar"/>
          <w:rFonts w:hint="eastAsia"/>
          <w:color w:val="000000"/>
        </w:rPr>
        <w:t>第三条</w:t>
      </w:r>
      <w:r>
        <w:rPr>
          <w:rFonts w:ascii="仿宋" w:hAnsi="仿宋" w:cs="仿宋" w:hint="eastAsia" w:eastAsia="仿宋"/>
          <w:color w:val="000000"/>
          <w:sz w:val="32"/>
          <w:szCs w:val="32"/>
        </w:rPr>
        <w:t xml:space="preserve">  供热应当遵循统一规划、公众利益优先、保障安全和质量、规范服务和管</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理、节能环保的原则。</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Style w:val="2CharChar"/>
          <w:rFonts w:hint="eastAsia"/>
          <w:color w:val="000000"/>
        </w:rPr>
        <w:t>第四条</w:t>
      </w:r>
      <w:r>
        <w:rPr>
          <w:rFonts w:ascii="仿宋" w:hAnsi="仿宋" w:cs="仿宋" w:hint="eastAsia" w:eastAsia="仿宋"/>
          <w:color w:val="000000"/>
          <w:sz w:val="32"/>
          <w:szCs w:val="32"/>
        </w:rPr>
        <w:t xml:space="preserve">  省、市、县（含县级市、区，下同）供热行政主管部门负责本行政区域内供热监督管理工作。</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发展改革、财政、民政、</w:t>
      </w:r>
      <w:r>
        <w:rPr>
          <w:rFonts w:ascii="仿宋" w:hAnsi="仿宋" w:cs="仿宋" w:hint="eastAsia" w:eastAsia="仿宋"/>
          <w:b w:val="false"/>
          <w:bCs w:val="false"/>
          <w:color w:val="000000"/>
          <w:sz w:val="32"/>
          <w:szCs w:val="32"/>
        </w:rPr>
        <w:t>人力资源社会保障、生态环境、市场监督管理</w:t>
      </w:r>
      <w:r>
        <w:rPr>
          <w:rFonts w:ascii="仿宋" w:hAnsi="仿宋" w:cs="仿宋" w:hint="eastAsia" w:eastAsia="仿宋"/>
          <w:color w:val="000000"/>
          <w:sz w:val="32"/>
          <w:szCs w:val="32"/>
        </w:rPr>
        <w:t>等有关部门，应当按照各自职责做好供热管理工作。</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Style w:val="2CharChar"/>
          <w:rFonts w:hint="eastAsia"/>
          <w:color w:val="000000"/>
        </w:rPr>
        <w:t>第五条</w:t>
      </w:r>
      <w:r>
        <w:rPr>
          <w:rFonts w:ascii="仿宋" w:hAnsi="仿宋" w:cs="仿宋" w:hint="eastAsia" w:eastAsia="仿宋"/>
          <w:color w:val="000000"/>
          <w:sz w:val="32"/>
          <w:szCs w:val="32"/>
        </w:rPr>
        <w:t xml:space="preserve">  鼓励和扶持利用清洁能源和可再生能源发展供热事业，推广使用安全、高效、节能、环保的供热新技术、新工艺、新材料和新设备。</w:t>
      </w:r>
    </w:p>
    <w:p>
      <w:pPr>
        <w:pStyle w:val="Normal"/>
        <w:keepNext w:val="false"/>
        <w:keepLines w:val="false"/>
        <w:pageBreakBefore w:val="false"/>
        <w:widowControl w:val="false"/>
        <w:kinsoku w:val="true"/>
        <w:overflowPunct w:val="true"/>
        <w:autoSpaceDE w:val="true"/>
        <w:bidi w:val="0"/>
        <w:snapToGrid w:val="true"/>
        <w:spacing w:lineRule="exact" w:line="570"/>
        <w:jc w:val="center"/>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0"/>
        <w:jc w:val="center"/>
        <w:textAlignment w:val="auto"/>
        <w:rPr>
          <w:rFonts w:ascii="仿宋" w:hAnsi="仿宋" w:eastAsia="仿宋" w:cs="仿宋" w:hint="eastAsia"/>
          <w:color w:val="000000"/>
          <w:sz w:val="32"/>
          <w:szCs w:val="32"/>
        </w:rPr>
      </w:pPr>
      <w:bookmarkStart w:id="1" w:name="__RefHeading___Toc25184"/>
      <w:bookmarkEnd w:id="1"/>
      <w:r>
        <w:rPr>
          <w:rFonts w:ascii="黑体" w:hAnsi="黑体" w:cs="黑体" w:hint="eastAsia" w:eastAsia="黑体"/>
          <w:color w:val="000000"/>
          <w:sz w:val="32"/>
          <w:szCs w:val="32"/>
        </w:rPr>
        <w:t>第二章  规划与建设</w:t>
      </w:r>
    </w:p>
    <w:p>
      <w:pPr>
        <w:pStyle w:val="Normal"/>
        <w:keepNext w:val="false"/>
        <w:keepLines w:val="false"/>
        <w:pageBreakBefore w:val="false"/>
        <w:widowControl w:val="false"/>
        <w:kinsoku w:val="true"/>
        <w:overflowPunct w:val="true"/>
        <w:autoSpaceDE w:val="true"/>
        <w:bidi w:val="0"/>
        <w:snapToGrid w:val="true"/>
        <w:spacing w:lineRule="exact" w:line="570"/>
        <w:jc w:val="center"/>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Style w:val="2CharChar"/>
          <w:rFonts w:hint="eastAsia"/>
          <w:color w:val="000000"/>
        </w:rPr>
        <w:t>第六条</w:t>
      </w:r>
      <w:r>
        <w:rPr>
          <w:rFonts w:ascii="仿宋" w:hAnsi="仿宋" w:cs="仿宋" w:hint="eastAsia" w:eastAsia="仿宋"/>
          <w:color w:val="000000"/>
          <w:sz w:val="32"/>
          <w:szCs w:val="32"/>
        </w:rPr>
        <w:t xml:space="preserve">  市、县供热行政主管部门应当会同发展改革、</w:t>
      </w:r>
      <w:r>
        <w:rPr>
          <w:rFonts w:ascii="仿宋" w:hAnsi="仿宋" w:cs="仿宋" w:hint="eastAsia" w:eastAsia="仿宋"/>
          <w:b w:val="false"/>
          <w:bCs w:val="false"/>
          <w:color w:val="000000"/>
          <w:sz w:val="32"/>
          <w:szCs w:val="32"/>
        </w:rPr>
        <w:t>自然资源</w:t>
      </w:r>
      <w:r>
        <w:rPr>
          <w:rFonts w:ascii="仿宋" w:hAnsi="仿宋" w:cs="仿宋" w:hint="eastAsia" w:eastAsia="仿宋"/>
          <w:color w:val="000000"/>
          <w:sz w:val="32"/>
          <w:szCs w:val="32"/>
        </w:rPr>
        <w:t>等部门，依据城市总体规划，编制市、县供热专项规划，报本级人民政府批准后实施。</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经批准的供热专项规划，任何单位和个人不得擅自变更；确需变更的，应当报原批准机关批准。</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Style w:val="2CharChar"/>
          <w:rFonts w:hint="eastAsia"/>
          <w:color w:val="000000"/>
        </w:rPr>
        <w:t>第七条</w:t>
      </w:r>
      <w:r>
        <w:rPr>
          <w:rFonts w:ascii="仿宋" w:hAnsi="仿宋" w:cs="仿宋" w:hint="eastAsia" w:eastAsia="仿宋"/>
          <w:color w:val="000000"/>
          <w:sz w:val="32"/>
          <w:szCs w:val="32"/>
        </w:rPr>
        <w:t xml:space="preserve">  供热行政主管部门应当根据供热专项规划，统筹安排热源建设和管网布局。热源单位和供热单位不得违反供热专项规划确定的管网布局和供热方案，擅自为建设单位接入供热管网。</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符合供热专项规划的新建、扩建、改建供热工程，应当经市、县供热行政主管部门审查同意后，按照有关规定办理相关审批手续。工程竣工后，建设单位应当组织供热等单位按照国家和省有关规定进行验收。未经验收或者验收不合格的，不得投入使用。</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Style w:val="2CharChar"/>
          <w:rFonts w:hint="eastAsia"/>
          <w:color w:val="000000"/>
        </w:rPr>
        <w:t>第八条</w:t>
      </w:r>
      <w:r>
        <w:rPr>
          <w:rFonts w:ascii="仿宋" w:hAnsi="仿宋" w:cs="仿宋" w:hint="eastAsia" w:eastAsia="仿宋"/>
          <w:color w:val="000000"/>
          <w:sz w:val="32"/>
          <w:szCs w:val="32"/>
        </w:rPr>
        <w:t xml:space="preserve">  供热工程的勘察、设计、施工、监理，应当由具有相应资质的单位承担，并执行国家和省有关技术标准和规范。</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省供热行政主管部门应当根据国家有关规定，对供热工程中使用的产品和技术，定期制定推广、限制和淘汰的目录，并予以公布。</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Style w:val="2CharChar"/>
          <w:rFonts w:hint="eastAsia"/>
          <w:color w:val="000000"/>
        </w:rPr>
        <w:t>第九条</w:t>
      </w:r>
      <w:r>
        <w:rPr>
          <w:rFonts w:ascii="仿宋" w:hAnsi="仿宋" w:cs="仿宋" w:hint="eastAsia" w:eastAsia="仿宋"/>
          <w:color w:val="000000"/>
          <w:sz w:val="32"/>
          <w:szCs w:val="32"/>
        </w:rPr>
        <w:t xml:space="preserve">  新建建筑应当按照有关规定安装供热计量和室温调控装置。未按照规定安装的，不得进行工程竣工验收备案。对既有建筑未安装的，市、县人民政府应当加大供热节能改造力度，及时组织安装供热计量和室温调控装置。</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供热单位应当选购符合国家相关标准的供热计量和室温调控装置，其费用由建设单位承担。</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供热计量装置应当依照有关规定检定合格后方可安装使用，并定期检定或者更换。在保修期内，由保修单位负责维修更换；保修期满后，由供热单位负责维修更换。供用热双方对热计量数据的准确性发生争议时，由法定的计量检定机构进行检定，检定费用由责任方承担。</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供热计量和室温调控装置选购、安装、使用和维护的具体办法，由省供热行政主管部门制定。</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Style w:val="2CharChar"/>
          <w:rFonts w:hint="eastAsia"/>
          <w:color w:val="000000"/>
        </w:rPr>
        <w:t>第十条</w:t>
      </w:r>
      <w:r>
        <w:rPr>
          <w:rFonts w:ascii="仿宋" w:hAnsi="仿宋" w:cs="仿宋" w:hint="eastAsia" w:eastAsia="仿宋"/>
          <w:color w:val="000000"/>
          <w:sz w:val="32"/>
          <w:szCs w:val="32"/>
        </w:rPr>
        <w:t xml:space="preserve">  在已建成和规划建设的热电联产集中供热管网范围内，不得批准新建、扩建除供热调峰锅炉以外的永久性锅炉。</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热电联产供热范围以外的新建房屋和旧城改造，应当实行区域锅炉集中供热；在区域锅炉供热管网敷设范围内，供热单位有能力提供热源的，不得新建分散锅炉供热工程。对已有的分散锅炉，市、县人民政府应当拆除或者改造后并入集中供热管网，并不得向用户收取供热管网建设、改造费用。</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Style w:val="2CharChar"/>
          <w:rFonts w:hint="eastAsia"/>
          <w:color w:val="000000"/>
        </w:rPr>
        <w:t>第十一条</w:t>
      </w:r>
      <w:r>
        <w:rPr>
          <w:rFonts w:ascii="仿宋" w:hAnsi="仿宋" w:cs="仿宋" w:hint="eastAsia" w:eastAsia="仿宋"/>
          <w:color w:val="000000"/>
          <w:sz w:val="32"/>
          <w:szCs w:val="32"/>
        </w:rPr>
        <w:t xml:space="preserve">  新建、扩建、改建建筑增加供热面积的，建设单位应当按照国家有关规定交纳城市基础设施配套费。</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城市基础设施配套费中用于供热建设的资金，应当按照规定纳入财政预算管理，专款专用。</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Style w:val="2CharChar"/>
          <w:rFonts w:hint="eastAsia"/>
          <w:color w:val="000000"/>
        </w:rPr>
        <w:t>第十二条</w:t>
      </w:r>
      <w:r>
        <w:rPr>
          <w:rFonts w:ascii="仿宋" w:hAnsi="仿宋" w:cs="仿宋" w:hint="eastAsia" w:eastAsia="仿宋"/>
          <w:color w:val="000000"/>
          <w:sz w:val="32"/>
          <w:szCs w:val="32"/>
        </w:rPr>
        <w:t xml:space="preserve">  市、县供热行政主管部门应当建立供热工程档案管理制度。供热工程验收合格后，建设单位应当向供热行政主管部门和供热单位移交供热设施资料。</w:t>
      </w:r>
    </w:p>
    <w:p>
      <w:pPr>
        <w:pStyle w:val="Normal"/>
        <w:keepNext w:val="false"/>
        <w:keepLines w:val="false"/>
        <w:pageBreakBefore w:val="false"/>
        <w:widowControl w:val="false"/>
        <w:kinsoku w:val="true"/>
        <w:overflowPunct w:val="true"/>
        <w:autoSpaceDE w:val="true"/>
        <w:bidi w:val="0"/>
        <w:snapToGrid w:val="true"/>
        <w:spacing w:lineRule="exact" w:line="570"/>
        <w:jc w:val="center"/>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0"/>
        <w:jc w:val="center"/>
        <w:textAlignment w:val="auto"/>
        <w:rPr>
          <w:rFonts w:ascii="黑体" w:hAnsi="黑体" w:eastAsia="黑体" w:cs="黑体" w:hint="eastAsia"/>
          <w:color w:val="000000"/>
          <w:sz w:val="32"/>
          <w:szCs w:val="32"/>
        </w:rPr>
      </w:pPr>
      <w:bookmarkStart w:id="2" w:name="__RefHeading___Toc4840"/>
      <w:bookmarkEnd w:id="2"/>
      <w:r>
        <w:rPr>
          <w:rFonts w:ascii="黑体" w:hAnsi="黑体" w:cs="黑体" w:hint="eastAsia" w:eastAsia="黑体"/>
          <w:color w:val="000000"/>
          <w:sz w:val="32"/>
          <w:szCs w:val="32"/>
        </w:rPr>
        <w:t>第三章  供热与用热</w:t>
      </w:r>
    </w:p>
    <w:p>
      <w:pPr>
        <w:pStyle w:val="Normal"/>
        <w:keepNext w:val="false"/>
        <w:keepLines w:val="false"/>
        <w:pageBreakBefore w:val="false"/>
        <w:widowControl w:val="false"/>
        <w:kinsoku w:val="true"/>
        <w:overflowPunct w:val="true"/>
        <w:autoSpaceDE w:val="true"/>
        <w:bidi w:val="0"/>
        <w:snapToGrid w:val="true"/>
        <w:spacing w:lineRule="exact" w:line="570"/>
        <w:jc w:val="center"/>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Style w:val="2CharChar"/>
          <w:rFonts w:hint="eastAsia"/>
          <w:color w:val="000000"/>
        </w:rPr>
        <w:t xml:space="preserve">第十三条 </w:t>
      </w:r>
      <w:r>
        <w:rPr>
          <w:rFonts w:ascii="仿宋" w:hAnsi="仿宋" w:cs="仿宋" w:hint="eastAsia" w:eastAsia="仿宋"/>
          <w:color w:val="000000"/>
          <w:sz w:val="32"/>
          <w:szCs w:val="32"/>
        </w:rPr>
        <w:t xml:space="preserve"> 对供热专项规划中新增的供热区域，供热行政主管部门应当通过招投标确定热源单位或者供热单位。</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Style w:val="2CharChar"/>
          <w:rFonts w:hint="eastAsia"/>
          <w:color w:val="000000"/>
        </w:rPr>
        <w:t>第十四条</w:t>
      </w:r>
      <w:r>
        <w:rPr>
          <w:rFonts w:ascii="仿宋" w:hAnsi="仿宋" w:cs="仿宋" w:hint="eastAsia" w:eastAsia="仿宋"/>
          <w:color w:val="000000"/>
          <w:sz w:val="32"/>
          <w:szCs w:val="32"/>
        </w:rPr>
        <w:t xml:space="preserve">  供热经营实行许可证制度。供热单位依法取得供热行政主管部门核发的供热许可证后，方可从事供热经营活动。供热单位应当按照供热许可证规定的范围供热，不得擅自转让供热许可证。</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供热许可证实行分级审核、分级核发，具体办法由省供热行政主管部门制定。</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Style w:val="2CharChar"/>
          <w:rFonts w:hint="eastAsia"/>
          <w:color w:val="000000"/>
        </w:rPr>
        <w:t>第十五条</w:t>
      </w:r>
      <w:r>
        <w:rPr>
          <w:rFonts w:ascii="仿宋" w:hAnsi="仿宋" w:cs="仿宋" w:hint="eastAsia" w:eastAsia="仿宋"/>
          <w:color w:val="000000"/>
          <w:sz w:val="32"/>
          <w:szCs w:val="32"/>
        </w:rPr>
        <w:t xml:space="preserve">  取得供热许可证应当符合下列条件：</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（一）具备法人资格；</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（二）具有稳定的热源；</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（三）具有与供热规模相适应且符合国家节能环保要求的供热设施；</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（四）具有与供热规模相适应的资金；</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（五）具有固定的、符合安全条件的经营场所；</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（六）具有与供热规模相适应的专业技术人员、安全管理人员以及维护检修队伍；</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（七）具有完善的管理制度、服务规范和可行的经营方案；</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（八）没有擅自停热、歇业或者弃管记录；</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（九）具备法律、法规规定的其他条件。</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Style w:val="2CharChar"/>
          <w:rFonts w:hint="eastAsia"/>
          <w:color w:val="000000"/>
        </w:rPr>
        <w:t>第十六条</w:t>
      </w:r>
      <w:r>
        <w:rPr>
          <w:rFonts w:ascii="仿宋" w:hAnsi="仿宋" w:cs="仿宋" w:hint="eastAsia" w:eastAsia="仿宋"/>
          <w:color w:val="000000"/>
          <w:sz w:val="32"/>
          <w:szCs w:val="32"/>
        </w:rPr>
        <w:t xml:space="preserve">  供热单位不得擅自停业、歇业。确需停业或者歇业的，供热单位应当在供热期开始</w:t>
      </w:r>
      <w:r>
        <w:rPr>
          <w:rFonts w:eastAsia="仿宋" w:cs="仿宋" w:hint="eastAsia" w:ascii="仿宋" w:hAnsi="仿宋"/>
          <w:color w:val="000000"/>
          <w:sz w:val="32"/>
          <w:szCs w:val="32"/>
        </w:rPr>
        <w:t>6</w:t>
      </w:r>
      <w:r>
        <w:rPr>
          <w:rFonts w:ascii="仿宋" w:hAnsi="仿宋" w:cs="仿宋" w:hint="eastAsia" w:eastAsia="仿宋"/>
          <w:color w:val="000000"/>
          <w:sz w:val="32"/>
          <w:szCs w:val="32"/>
        </w:rPr>
        <w:t>个月前向所在地供热行政主管部门提出申请。供热行政主管部门应当自收到申请之日起</w:t>
      </w:r>
      <w:r>
        <w:rPr>
          <w:rFonts w:eastAsia="仿宋" w:cs="仿宋" w:hint="eastAsia" w:ascii="仿宋" w:hAnsi="仿宋"/>
          <w:color w:val="000000"/>
          <w:sz w:val="32"/>
          <w:szCs w:val="32"/>
        </w:rPr>
        <w:t>20</w:t>
      </w:r>
      <w:r>
        <w:rPr>
          <w:rFonts w:ascii="仿宋" w:hAnsi="仿宋" w:cs="仿宋" w:hint="eastAsia" w:eastAsia="仿宋"/>
          <w:color w:val="000000"/>
          <w:sz w:val="32"/>
          <w:szCs w:val="32"/>
        </w:rPr>
        <w:t>日内作出是否批准的决定。准予停业或者歇业的，应当收回供热许可证，并对供热范围内的用户用热作出妥善安排；不准予停业或者歇业的，应当书面说明理由。</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供热单位转让供热设施经营权的，应当向供热行政主管部门提出申请，经批准后，方可办理转让手续；转让方与受让方应当签订转让协议，并向供热行政主管部门备案。</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Style w:val="2CharChar"/>
          <w:rFonts w:hint="eastAsia"/>
          <w:color w:val="000000"/>
        </w:rPr>
        <w:t xml:space="preserve">第十七条 </w:t>
      </w:r>
      <w:r>
        <w:rPr>
          <w:rFonts w:ascii="仿宋" w:hAnsi="仿宋" w:cs="仿宋" w:hint="eastAsia" w:eastAsia="仿宋"/>
          <w:color w:val="000000"/>
          <w:sz w:val="32"/>
          <w:szCs w:val="32"/>
        </w:rPr>
        <w:t xml:space="preserve"> 市人民政府应当根据实际合理确定并公布供热起止时间。未经市人民政府批准，供热单位不得推迟供热或者提前停热。</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遇到特殊天气，市人民政府可以根据气象变化情况，决定提前或者延长供热，并给予供热单位相应补偿。补偿办法由市供热行政主管部门会同财政等相关部门制定，报市人民政府批准。</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Style w:val="2CharChar"/>
          <w:rFonts w:hint="eastAsia"/>
          <w:color w:val="000000"/>
        </w:rPr>
        <w:t>第十八条</w:t>
      </w:r>
      <w:r>
        <w:rPr>
          <w:rFonts w:ascii="仿宋" w:hAnsi="仿宋" w:cs="仿宋" w:hint="eastAsia" w:eastAsia="仿宋"/>
          <w:color w:val="000000"/>
          <w:sz w:val="32"/>
          <w:szCs w:val="32"/>
        </w:rPr>
        <w:t xml:space="preserve">  热源单位与供热单位、供热单位与用户应当在供热期前依法签订供用热合同。用户发生变更的，应当与供热单位办理合同变更手续。合同示范文本由省供热行政主管部门会同省</w:t>
      </w:r>
      <w:r>
        <w:rPr>
          <w:rFonts w:ascii="仿宋" w:hAnsi="仿宋" w:cs="仿宋" w:hint="eastAsia" w:eastAsia="仿宋"/>
          <w:b w:val="false"/>
          <w:bCs w:val="false"/>
          <w:color w:val="000000"/>
          <w:sz w:val="32"/>
          <w:szCs w:val="32"/>
        </w:rPr>
        <w:t>市场监督管理部门</w:t>
      </w:r>
      <w:r>
        <w:rPr>
          <w:rFonts w:ascii="仿宋" w:hAnsi="仿宋" w:cs="仿宋" w:hint="eastAsia" w:eastAsia="仿宋"/>
          <w:color w:val="000000"/>
          <w:sz w:val="32"/>
          <w:szCs w:val="32"/>
        </w:rPr>
        <w:t>监制。</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Style w:val="2CharChar"/>
          <w:rFonts w:hint="eastAsia"/>
          <w:color w:val="000000"/>
        </w:rPr>
        <w:t>第十九条</w:t>
      </w:r>
      <w:r>
        <w:rPr>
          <w:rFonts w:ascii="仿宋" w:hAnsi="仿宋" w:cs="仿宋" w:hint="eastAsia" w:eastAsia="仿宋"/>
          <w:color w:val="000000"/>
          <w:sz w:val="32"/>
          <w:szCs w:val="32"/>
        </w:rPr>
        <w:t xml:space="preserve">  在供热期内，除不可抗力和用户的原因外，供热单位应当保证用户的卧室、起居室（厅）温度不低于</w:t>
      </w:r>
      <w:r>
        <w:rPr>
          <w:rFonts w:eastAsia="仿宋" w:cs="仿宋" w:hint="eastAsia" w:ascii="仿宋" w:hAnsi="仿宋"/>
          <w:color w:val="000000"/>
          <w:sz w:val="32"/>
          <w:szCs w:val="32"/>
        </w:rPr>
        <w:t>18</w:t>
      </w:r>
      <w:r>
        <w:rPr>
          <w:rFonts w:ascii="仿宋" w:hAnsi="仿宋" w:cs="仿宋" w:hint="eastAsia" w:eastAsia="仿宋"/>
          <w:color w:val="000000"/>
          <w:sz w:val="32"/>
          <w:szCs w:val="32"/>
        </w:rPr>
        <w:t>摄氏度，其他部位的温度，应当符合设计规范标准要求。非住宅供用热双方对供热运行期限、温度标准另有约定的，从其约定，但约定应当</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符合国家标准和规范。</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Style w:val="2CharChar"/>
          <w:rFonts w:hint="eastAsia"/>
          <w:color w:val="000000"/>
        </w:rPr>
        <w:t xml:space="preserve">第二十条 </w:t>
      </w:r>
      <w:r>
        <w:rPr>
          <w:rFonts w:ascii="仿宋" w:hAnsi="仿宋" w:cs="仿宋" w:hint="eastAsia" w:eastAsia="仿宋"/>
          <w:color w:val="000000"/>
          <w:sz w:val="32"/>
          <w:szCs w:val="32"/>
        </w:rPr>
        <w:t xml:space="preserve"> 具备热计量收费条件的建筑，供热单位应当实行热计量收费。实行热计量收费的用户，按照国家有关规定交纳热费。未实行热计量收费的用户，按照供热面积收费标准交纳热费。</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供热价格和计费办法由市</w:t>
      </w:r>
      <w:r>
        <w:rPr>
          <w:rFonts w:ascii="仿宋" w:hAnsi="仿宋" w:cs="仿宋" w:hint="eastAsia" w:eastAsia="仿宋"/>
          <w:b w:val="false"/>
          <w:bCs w:val="false"/>
          <w:color w:val="000000"/>
          <w:sz w:val="32"/>
          <w:szCs w:val="32"/>
        </w:rPr>
        <w:t>发展改革部门</w:t>
      </w:r>
      <w:r>
        <w:rPr>
          <w:rFonts w:ascii="仿宋" w:hAnsi="仿宋" w:cs="仿宋" w:hint="eastAsia" w:eastAsia="仿宋"/>
          <w:color w:val="000000"/>
          <w:sz w:val="32"/>
          <w:szCs w:val="32"/>
        </w:rPr>
        <w:t>会同供热等有关部门制定，报市人民政府批准后公布实施。</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Style w:val="2CharChar"/>
          <w:rFonts w:hint="eastAsia"/>
          <w:color w:val="000000"/>
        </w:rPr>
        <w:t xml:space="preserve">第二十一条 </w:t>
      </w:r>
      <w:r>
        <w:rPr>
          <w:rFonts w:ascii="仿宋" w:hAnsi="仿宋" w:cs="仿宋" w:hint="eastAsia" w:eastAsia="仿宋"/>
          <w:color w:val="000000"/>
          <w:sz w:val="32"/>
          <w:szCs w:val="32"/>
        </w:rPr>
        <w:t xml:space="preserve"> 市发展改革部门应当会同供热行政主管部门根据煤炭市场价格变动情况，建立煤热价格联动机制，报市人民政府批准。</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调整供热价格的，发展改革部门应当按照规定进行供热成本监审，举行听证会，听取用户、供热单位、热源单位等方面的意见。在作出定价决定后，应当通过新闻媒体向社会公布定价决定，并说明对听证会各方面主要意见采纳情况及其理由。</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Style w:val="2CharChar"/>
          <w:rFonts w:hint="eastAsia"/>
          <w:color w:val="000000"/>
        </w:rPr>
        <w:t>第二十二条</w:t>
      </w:r>
      <w:r>
        <w:rPr>
          <w:rFonts w:ascii="仿宋" w:hAnsi="仿宋" w:cs="仿宋" w:hint="eastAsia" w:eastAsia="仿宋"/>
          <w:color w:val="000000"/>
          <w:sz w:val="32"/>
          <w:szCs w:val="32"/>
        </w:rPr>
        <w:t xml:space="preserve">  供热单位应当按照发展改革部门核定的供热价格和计费办法收取热费，并使用税务部门统一印制的专用票据。</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供热单位不得以分户供热前单位拖欠的陈旧热费等理由拒绝供热。</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Style w:val="2CharChar"/>
          <w:rFonts w:hint="eastAsia"/>
          <w:color w:val="000000"/>
        </w:rPr>
        <w:t>第二十三条</w:t>
      </w:r>
      <w:r>
        <w:rPr>
          <w:rFonts w:ascii="仿宋" w:hAnsi="仿宋" w:cs="仿宋" w:hint="eastAsia" w:eastAsia="仿宋"/>
          <w:color w:val="000000"/>
          <w:sz w:val="32"/>
          <w:szCs w:val="32"/>
        </w:rPr>
        <w:t xml:space="preserve">  用户应当在供热期开始前或者按照合同的约定及时交纳热费。用户未与供热单位签订供用热合同，但已形成事实供用热关系的，用户应当按照规定交纳热费。</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新建建筑供热设施保修期为两个供热期。在保修期内，不得暂停供热。未办理入住手续的房屋，由建设单位承担热费；已办理入住手续的房屋，由房屋购买人承担热费。</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Style w:val="2CharChar"/>
          <w:rFonts w:hint="eastAsia"/>
          <w:color w:val="000000"/>
        </w:rPr>
        <w:t>第二十四条</w:t>
      </w:r>
      <w:r>
        <w:rPr>
          <w:rFonts w:ascii="仿宋" w:hAnsi="仿宋" w:cs="仿宋" w:hint="eastAsia" w:eastAsia="仿宋"/>
          <w:color w:val="000000"/>
          <w:sz w:val="32"/>
          <w:szCs w:val="32"/>
        </w:rPr>
        <w:t xml:space="preserve">  既有建筑室内供热设施已经分户且供热设施保修期已满的用户，要求暂停供热的，应当在供热期开始</w:t>
      </w:r>
      <w:r>
        <w:rPr>
          <w:rFonts w:eastAsia="仿宋" w:cs="仿宋" w:hint="eastAsia" w:ascii="仿宋" w:hAnsi="仿宋"/>
          <w:color w:val="000000"/>
          <w:sz w:val="32"/>
          <w:szCs w:val="32"/>
        </w:rPr>
        <w:t>10</w:t>
      </w:r>
      <w:r>
        <w:rPr>
          <w:rFonts w:ascii="仿宋" w:hAnsi="仿宋" w:cs="仿宋" w:hint="eastAsia" w:eastAsia="仿宋"/>
          <w:color w:val="000000"/>
          <w:sz w:val="32"/>
          <w:szCs w:val="32"/>
        </w:rPr>
        <w:t>日前告知供热单位。</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已办理暂停用热的用户需要恢复供热的，应当在当年交纳热费截止日期前交纳热费。</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市人民政府根据实际情况，可以决定对暂停供热的用户收取供热设施运行基础费，但不得超过按照供热面积交纳热费总额的</w:t>
      </w:r>
      <w:r>
        <w:rPr>
          <w:rFonts w:eastAsia="仿宋" w:cs="仿宋" w:hint="eastAsia" w:ascii="仿宋" w:hAnsi="仿宋"/>
          <w:color w:val="000000"/>
          <w:sz w:val="32"/>
          <w:szCs w:val="32"/>
        </w:rPr>
        <w:t>15%</w:t>
      </w:r>
      <w:r>
        <w:rPr>
          <w:rFonts w:ascii="仿宋" w:hAnsi="仿宋" w:cs="仿宋" w:hint="eastAsia" w:eastAsia="仿宋"/>
          <w:color w:val="00000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Style w:val="2CharChar"/>
          <w:rFonts w:hint="eastAsia"/>
          <w:color w:val="000000"/>
        </w:rPr>
        <w:t>第二十五条</w:t>
      </w:r>
      <w:r>
        <w:rPr>
          <w:rFonts w:ascii="仿宋" w:hAnsi="仿宋" w:cs="仿宋" w:hint="eastAsia" w:eastAsia="仿宋"/>
          <w:color w:val="000000"/>
          <w:sz w:val="32"/>
          <w:szCs w:val="32"/>
        </w:rPr>
        <w:t xml:space="preserve">  供热单位应当加强供热设施运行情况的日常管理，向社会公示服务内容、服务标准和办事程序，公开收费标准和报修电话，及时处理用户反映的供热问题。</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Style w:val="2CharChar"/>
          <w:rFonts w:hint="eastAsia"/>
          <w:color w:val="000000"/>
        </w:rPr>
        <w:t>第二十六条</w:t>
      </w:r>
      <w:r>
        <w:rPr>
          <w:rFonts w:ascii="仿宋" w:hAnsi="仿宋" w:cs="仿宋" w:hint="eastAsia" w:eastAsia="仿宋"/>
          <w:color w:val="000000"/>
          <w:sz w:val="32"/>
          <w:szCs w:val="32"/>
        </w:rPr>
        <w:t xml:space="preserve">  在供热期间，供热单位应当保证安全、稳定、连续供热，实行</w:t>
      </w:r>
      <w:r>
        <w:rPr>
          <w:rFonts w:eastAsia="仿宋" w:cs="仿宋" w:hint="eastAsia" w:ascii="仿宋" w:hAnsi="仿宋"/>
          <w:color w:val="000000"/>
          <w:sz w:val="32"/>
          <w:szCs w:val="32"/>
        </w:rPr>
        <w:t>24</w:t>
      </w:r>
      <w:r>
        <w:rPr>
          <w:rFonts w:ascii="仿宋" w:hAnsi="仿宋" w:cs="仿宋" w:hint="eastAsia" w:eastAsia="仿宋"/>
          <w:color w:val="000000"/>
          <w:sz w:val="32"/>
          <w:szCs w:val="32"/>
        </w:rPr>
        <w:t>小时不间断服务，加强巡视检查，发现问题或者接到报修，应当及时处理，不得擅自停止供热。向供热单位供应水、电、燃气、燃油、煤炭或者热能的单位，应当依法保障供应，不得擅自中断。</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采用分散锅炉间歇式供热的，每天锅炉供热运行时间不得少于</w:t>
      </w:r>
      <w:r>
        <w:rPr>
          <w:rFonts w:eastAsia="仿宋" w:cs="仿宋" w:hint="eastAsia" w:ascii="仿宋" w:hAnsi="仿宋"/>
          <w:color w:val="000000"/>
          <w:sz w:val="32"/>
          <w:szCs w:val="32"/>
        </w:rPr>
        <w:t>16</w:t>
      </w:r>
      <w:r>
        <w:rPr>
          <w:rFonts w:ascii="仿宋" w:hAnsi="仿宋" w:cs="仿宋" w:hint="eastAsia" w:eastAsia="仿宋"/>
          <w:color w:val="000000"/>
          <w:sz w:val="32"/>
          <w:szCs w:val="32"/>
        </w:rPr>
        <w:t>小时。</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供热设施发生故障不能正常供热，需要停热</w:t>
      </w:r>
      <w:r>
        <w:rPr>
          <w:rFonts w:eastAsia="仿宋" w:cs="仿宋" w:hint="eastAsia" w:ascii="仿宋" w:hAnsi="仿宋"/>
          <w:color w:val="000000"/>
          <w:sz w:val="32"/>
          <w:szCs w:val="32"/>
        </w:rPr>
        <w:t>8</w:t>
      </w:r>
      <w:r>
        <w:rPr>
          <w:rFonts w:ascii="仿宋" w:hAnsi="仿宋" w:cs="仿宋" w:hint="eastAsia" w:eastAsia="仿宋"/>
          <w:color w:val="000000"/>
          <w:sz w:val="32"/>
          <w:szCs w:val="32"/>
        </w:rPr>
        <w:t>小时以上的，热源单位和供热单位应当及时通知用户，并立即组织抢修，及时恢复供热，同时报告所在地供热行政主管部门。连续停热超过</w:t>
      </w:r>
      <w:r>
        <w:rPr>
          <w:rFonts w:eastAsia="仿宋" w:cs="仿宋" w:hint="eastAsia" w:ascii="仿宋" w:hAnsi="仿宋"/>
          <w:color w:val="000000"/>
          <w:sz w:val="32"/>
          <w:szCs w:val="32"/>
        </w:rPr>
        <w:t>24</w:t>
      </w:r>
      <w:r>
        <w:rPr>
          <w:rFonts w:ascii="仿宋" w:hAnsi="仿宋" w:cs="仿宋" w:hint="eastAsia" w:eastAsia="仿宋"/>
          <w:color w:val="000000"/>
          <w:sz w:val="32"/>
          <w:szCs w:val="32"/>
        </w:rPr>
        <w:t>小时的，供热单位应当自停热之时起按日退还用户两倍热费。</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Style w:val="2CharChar"/>
          <w:rFonts w:hint="eastAsia"/>
          <w:color w:val="000000"/>
        </w:rPr>
        <w:t>第二十七条</w:t>
      </w:r>
      <w:r>
        <w:rPr>
          <w:rFonts w:ascii="仿宋" w:hAnsi="仿宋" w:cs="仿宋" w:hint="eastAsia" w:eastAsia="仿宋"/>
          <w:color w:val="000000"/>
          <w:sz w:val="32"/>
          <w:szCs w:val="32"/>
        </w:rPr>
        <w:t xml:space="preserve">  用户认为室内温度低于本条例规定最低温度或者合同约定温度的，可以要求供热单位测温。供热单位应当自被告知之时起</w:t>
      </w:r>
      <w:r>
        <w:rPr>
          <w:rFonts w:eastAsia="仿宋" w:cs="仿宋" w:hint="eastAsia" w:ascii="仿宋" w:hAnsi="仿宋"/>
          <w:color w:val="000000"/>
          <w:sz w:val="32"/>
          <w:szCs w:val="32"/>
        </w:rPr>
        <w:t>12</w:t>
      </w:r>
      <w:r>
        <w:rPr>
          <w:rFonts w:ascii="仿宋" w:hAnsi="仿宋" w:cs="仿宋" w:hint="eastAsia" w:eastAsia="仿宋"/>
          <w:color w:val="000000"/>
          <w:sz w:val="32"/>
          <w:szCs w:val="32"/>
        </w:rPr>
        <w:t>小时内按照有关规定和操作规范现场测温。供热单位对未达标温度没有异议的，应当及时采取改进措施。</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供热单位对未达标温度有异议的，用户可以向供热行政主管部门投诉。供热行政主管部门应当自用户投诉之时起</w:t>
      </w:r>
      <w:r>
        <w:rPr>
          <w:rFonts w:eastAsia="仿宋" w:cs="仿宋" w:hint="eastAsia" w:ascii="仿宋" w:hAnsi="仿宋"/>
          <w:color w:val="000000"/>
          <w:sz w:val="32"/>
          <w:szCs w:val="32"/>
        </w:rPr>
        <w:t>12</w:t>
      </w:r>
      <w:r>
        <w:rPr>
          <w:rFonts w:ascii="仿宋" w:hAnsi="仿宋" w:cs="仿宋" w:hint="eastAsia" w:eastAsia="仿宋"/>
          <w:color w:val="000000"/>
          <w:sz w:val="32"/>
          <w:szCs w:val="32"/>
        </w:rPr>
        <w:t>小时内组织现场测温。由于供热单位原因温度未达标的，供热主管部门应当责令供热单位及时采取改进措施。</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因供热单位原因自被告知之时起超过</w:t>
      </w:r>
      <w:r>
        <w:rPr>
          <w:rFonts w:eastAsia="仿宋" w:cs="仿宋" w:hint="eastAsia" w:ascii="仿宋" w:hAnsi="仿宋"/>
          <w:color w:val="000000"/>
          <w:sz w:val="32"/>
          <w:szCs w:val="32"/>
        </w:rPr>
        <w:t>24</w:t>
      </w:r>
      <w:r>
        <w:rPr>
          <w:rFonts w:ascii="仿宋" w:hAnsi="仿宋" w:cs="仿宋" w:hint="eastAsia" w:eastAsia="仿宋"/>
          <w:color w:val="000000"/>
          <w:sz w:val="32"/>
          <w:szCs w:val="32"/>
        </w:rPr>
        <w:t>小时温度仍未达标的，供热单位应当自被告知之时起按日退还用户两倍热费。</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温度测量和认定办法由省供热行政主管部门会同省有关部门制定并公布。</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Style w:val="2CharChar"/>
          <w:rFonts w:hint="eastAsia"/>
          <w:color w:val="000000"/>
        </w:rPr>
        <w:t>第二十八条</w:t>
      </w:r>
      <w:r>
        <w:rPr>
          <w:rFonts w:ascii="仿宋" w:hAnsi="仿宋" w:cs="仿宋" w:hint="eastAsia" w:eastAsia="仿宋"/>
          <w:color w:val="000000"/>
          <w:sz w:val="32"/>
          <w:szCs w:val="32"/>
        </w:rPr>
        <w:t xml:space="preserve">  用户不得有下列行为：</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（一）擅自改动室内供热设施，确实影响供热质量；</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（二）擅自安装放水阀、循环泵；</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（三）擅自开启、调节、移动、拆除供热阀门及铅封、计量器具等；</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（四）排放和取用供热设施内的热水或者蒸汽；</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（五）擅自扩大供热面积；</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（六）阻碍供热单位对供热设施进行维护、管理；</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（七）其他影响供热设施正常运行和供热质量的行为。</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用户出现上述行为造成温度未达标的，由其自行承担责任，但用户已按照供热单位要求改正的除外。</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Style w:val="2CharChar"/>
          <w:rFonts w:hint="eastAsia"/>
          <w:color w:val="000000"/>
        </w:rPr>
        <w:t>第二十九条</w:t>
      </w:r>
      <w:r>
        <w:rPr>
          <w:rFonts w:ascii="仿宋" w:hAnsi="仿宋" w:cs="仿宋" w:hint="eastAsia" w:eastAsia="仿宋"/>
          <w:color w:val="000000"/>
          <w:sz w:val="32"/>
          <w:szCs w:val="32"/>
        </w:rPr>
        <w:t xml:space="preserve">  各级人民政府应当结合实际情况，实行职工热费补贴随工资发放制度。</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市人民政府应当建立城市供热救助资金，专项用于城市低保户、低保边缘户和其他困难居民的热费贴付。</w:t>
      </w:r>
    </w:p>
    <w:p>
      <w:pPr>
        <w:pStyle w:val="Normal"/>
        <w:keepNext w:val="false"/>
        <w:keepLines w:val="false"/>
        <w:pageBreakBefore w:val="false"/>
        <w:widowControl w:val="false"/>
        <w:kinsoku w:val="true"/>
        <w:overflowPunct w:val="true"/>
        <w:autoSpaceDE w:val="true"/>
        <w:bidi w:val="0"/>
        <w:snapToGrid w:val="true"/>
        <w:spacing w:lineRule="exact" w:line="570"/>
        <w:jc w:val="center"/>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0"/>
        <w:jc w:val="center"/>
        <w:textAlignment w:val="auto"/>
        <w:rPr>
          <w:rFonts w:ascii="仿宋" w:hAnsi="仿宋" w:eastAsia="仿宋" w:cs="仿宋" w:hint="eastAsia"/>
          <w:color w:val="000000"/>
          <w:sz w:val="32"/>
          <w:szCs w:val="32"/>
        </w:rPr>
      </w:pPr>
      <w:bookmarkStart w:id="3" w:name="__RefHeading___Toc7782"/>
      <w:bookmarkEnd w:id="3"/>
      <w:r>
        <w:rPr>
          <w:rFonts w:ascii="黑体" w:hAnsi="黑体" w:cs="黑体" w:hint="eastAsia" w:eastAsia="黑体"/>
          <w:color w:val="000000"/>
          <w:sz w:val="32"/>
          <w:szCs w:val="32"/>
        </w:rPr>
        <w:t>第四章  设施管理</w:t>
      </w:r>
    </w:p>
    <w:p>
      <w:pPr>
        <w:pStyle w:val="Normal"/>
        <w:keepNext w:val="false"/>
        <w:keepLines w:val="false"/>
        <w:pageBreakBefore w:val="false"/>
        <w:widowControl w:val="false"/>
        <w:kinsoku w:val="true"/>
        <w:overflowPunct w:val="true"/>
        <w:autoSpaceDE w:val="true"/>
        <w:bidi w:val="0"/>
        <w:snapToGrid w:val="true"/>
        <w:spacing w:lineRule="exact" w:line="570"/>
        <w:jc w:val="center"/>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Style w:val="2CharChar"/>
          <w:rFonts w:hint="eastAsia"/>
          <w:color w:val="000000"/>
        </w:rPr>
        <w:t>第三十条</w:t>
      </w:r>
      <w:r>
        <w:rPr>
          <w:rFonts w:ascii="仿宋" w:hAnsi="仿宋" w:cs="仿宋" w:hint="eastAsia" w:eastAsia="仿宋"/>
          <w:color w:val="000000"/>
          <w:sz w:val="32"/>
          <w:szCs w:val="32"/>
        </w:rPr>
        <w:t xml:space="preserve">  供热行政主管部门应当建立城市供热信息平台管理制度，实现供热信息共享和网络化监督管理，对供热单位的供热设施运行情况实行实时远程监控，采集供热相关数据信息，并向社会公开。</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供热行政主管部门应当建立供热质量综合评价制度，对供热单位的供热设施运行、维护服务以及安全管理等情况进行检查和考核，并建立诚信档案。供热期满后</w:t>
      </w:r>
      <w:r>
        <w:rPr>
          <w:rFonts w:eastAsia="仿宋" w:cs="仿宋" w:hint="eastAsia" w:ascii="仿宋" w:hAnsi="仿宋"/>
          <w:color w:val="000000"/>
          <w:sz w:val="32"/>
          <w:szCs w:val="32"/>
        </w:rPr>
        <w:t>30</w:t>
      </w:r>
      <w:r>
        <w:rPr>
          <w:rFonts w:ascii="仿宋" w:hAnsi="仿宋" w:cs="仿宋" w:hint="eastAsia" w:eastAsia="仿宋"/>
          <w:color w:val="000000"/>
          <w:sz w:val="32"/>
          <w:szCs w:val="32"/>
        </w:rPr>
        <w:t>日内，供热行政主管部门应当对供热单位进行供热质量综合评价，并将评价结果向社会公布。</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供热行政主管部门应当建立供用热举报和投诉制度，公布举报电话和电子信箱，接受举报和投诉。受理举报和投诉后，应当依法调查处理，并将处理结果告知举报人或者投诉人。</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Style w:val="2CharChar"/>
          <w:rFonts w:hint="eastAsia"/>
          <w:color w:val="000000"/>
        </w:rPr>
        <w:t>第三十</w:t>
      </w:r>
      <w:r>
        <w:rPr>
          <w:rStyle w:val="2CharChar"/>
          <w:rFonts w:hint="eastAsia" w:eastAsia="黑体"/>
          <w:color w:val="000000"/>
        </w:rPr>
        <w:t>一</w:t>
      </w:r>
      <w:r>
        <w:rPr>
          <w:rStyle w:val="2CharChar"/>
          <w:rFonts w:hint="eastAsia"/>
          <w:color w:val="000000"/>
        </w:rPr>
        <w:t>条</w:t>
      </w:r>
      <w:r>
        <w:rPr>
          <w:rFonts w:ascii="仿宋" w:hAnsi="仿宋" w:cs="仿宋" w:hint="eastAsia" w:eastAsia="仿宋"/>
          <w:color w:val="000000"/>
          <w:sz w:val="32"/>
          <w:szCs w:val="32"/>
        </w:rPr>
        <w:t xml:space="preserve">  供热单位应当对管理范围内的供热设施进行定期巡检，发现共用供热设施（含住宅楼外的供热设施和楼内的共用供热设施）存在隐患的，应当及时消除；用户自用供热设施存在隐患的，应当告知用户及时消除。</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供热单位应当按照相应的技术标准和供热行政主管部门要求，定期对供热设施进行检查、维护和更新改造，并于每年</w:t>
      </w:r>
      <w:r>
        <w:rPr>
          <w:rFonts w:eastAsia="仿宋" w:cs="仿宋" w:hint="eastAsia" w:ascii="仿宋" w:hAnsi="仿宋"/>
          <w:color w:val="000000"/>
          <w:sz w:val="32"/>
          <w:szCs w:val="32"/>
        </w:rPr>
        <w:t>10</w:t>
      </w:r>
      <w:r>
        <w:rPr>
          <w:rFonts w:ascii="仿宋" w:hAnsi="仿宋" w:cs="仿宋" w:hint="eastAsia" w:eastAsia="仿宋"/>
          <w:color w:val="000000"/>
          <w:sz w:val="32"/>
          <w:szCs w:val="32"/>
        </w:rPr>
        <w:t>月</w:t>
      </w:r>
      <w:r>
        <w:rPr>
          <w:rFonts w:eastAsia="仿宋" w:cs="仿宋" w:hint="eastAsia" w:ascii="仿宋" w:hAnsi="仿宋"/>
          <w:color w:val="000000"/>
          <w:sz w:val="32"/>
          <w:szCs w:val="32"/>
        </w:rPr>
        <w:t>15</w:t>
      </w:r>
      <w:r>
        <w:rPr>
          <w:rFonts w:ascii="仿宋" w:hAnsi="仿宋" w:cs="仿宋" w:hint="eastAsia" w:eastAsia="仿宋"/>
          <w:color w:val="000000"/>
          <w:sz w:val="32"/>
          <w:szCs w:val="32"/>
        </w:rPr>
        <w:t>日前完成年度检修，保证供热期内设施完好。</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供热单位按照国家有关规定提取的供热设施折旧费，应当专项用于供热设施的更新</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改造，供热行政主管部门应当对其提取、使用情况监督检查。</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Style w:val="2CharChar"/>
          <w:rFonts w:hint="eastAsia"/>
          <w:color w:val="000000"/>
        </w:rPr>
        <w:t>第三十</w:t>
      </w:r>
      <w:r>
        <w:rPr>
          <w:rStyle w:val="2CharChar"/>
          <w:rFonts w:hint="eastAsia" w:eastAsia="黑体"/>
          <w:color w:val="000000"/>
        </w:rPr>
        <w:t>二</w:t>
      </w:r>
      <w:r>
        <w:rPr>
          <w:rStyle w:val="2CharChar"/>
          <w:rFonts w:hint="eastAsia"/>
          <w:color w:val="000000"/>
        </w:rPr>
        <w:t>条</w:t>
      </w:r>
      <w:r>
        <w:rPr>
          <w:rFonts w:ascii="仿宋" w:hAnsi="仿宋" w:cs="仿宋" w:hint="eastAsia" w:eastAsia="仿宋"/>
          <w:color w:val="000000"/>
          <w:sz w:val="32"/>
          <w:szCs w:val="32"/>
        </w:rPr>
        <w:t xml:space="preserve">  在供热设施保修期内，由建设单位履行保修义务，由供热单位负责维护、管理。未履行或者拖延履行保修责任的，保修期顺延。</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保修期满后，共用供热设施由供热单位负责维护、管理，更换供热设施的费用由供热单位承担。未分户供热的住宅用户室内供热设施，由供热单位负责维护、管理，用户擅自拆改的部分除外。已经分户供热的住宅用户室内供热设施，由用户负责日常管理，可以委托供热单位负责维护，更换供热设施的费用由用户承担，但因供热事故造成的除外。</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非住宅用户的供热设施维护、管理责任，由供用热双方在合同中约定。</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Style w:val="2CharChar"/>
          <w:rFonts w:hint="eastAsia"/>
          <w:color w:val="000000"/>
        </w:rPr>
        <w:t>第三十</w:t>
      </w:r>
      <w:r>
        <w:rPr>
          <w:rStyle w:val="2CharChar"/>
          <w:rFonts w:hint="eastAsia" w:eastAsia="黑体"/>
          <w:color w:val="000000"/>
        </w:rPr>
        <w:t>三</w:t>
      </w:r>
      <w:r>
        <w:rPr>
          <w:rStyle w:val="2CharChar"/>
          <w:rFonts w:hint="eastAsia"/>
          <w:color w:val="000000"/>
        </w:rPr>
        <w:t>条</w:t>
      </w:r>
      <w:r>
        <w:rPr>
          <w:rFonts w:ascii="仿宋" w:hAnsi="仿宋" w:cs="仿宋" w:hint="eastAsia" w:eastAsia="仿宋"/>
          <w:color w:val="000000"/>
          <w:sz w:val="32"/>
          <w:szCs w:val="32"/>
        </w:rPr>
        <w:t xml:space="preserve">  热源单位和供热单位应当制定供热突发事件应急预案，组建应急抢险队伍。发生供热突发事件时，应当启用应急备用热源，并按照应急预案组织抢险。</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Style w:val="2CharChar"/>
          <w:rFonts w:hint="eastAsia"/>
          <w:color w:val="000000"/>
        </w:rPr>
        <w:t>第三十</w:t>
      </w:r>
      <w:r>
        <w:rPr>
          <w:rStyle w:val="2CharChar"/>
          <w:rFonts w:hint="eastAsia" w:eastAsia="黑体"/>
          <w:color w:val="000000"/>
        </w:rPr>
        <w:t>四</w:t>
      </w:r>
      <w:r>
        <w:rPr>
          <w:rStyle w:val="2CharChar"/>
          <w:rFonts w:hint="eastAsia"/>
          <w:color w:val="000000"/>
        </w:rPr>
        <w:t>条</w:t>
      </w:r>
      <w:r>
        <w:rPr>
          <w:rFonts w:ascii="仿宋" w:hAnsi="仿宋" w:cs="仿宋" w:hint="eastAsia" w:eastAsia="仿宋"/>
          <w:color w:val="000000"/>
          <w:sz w:val="32"/>
          <w:szCs w:val="32"/>
        </w:rPr>
        <w:t xml:space="preserve">  在供热期间，供热设施发生突发故障的，供热单位应当立即进行抢修。对影响抢修的其他设施，供热单位可以采取合理的应急处置和现场保护措施，并及时通知用户和有关单位。应急处置期间，公安、</w:t>
      </w:r>
      <w:r>
        <w:rPr>
          <w:rFonts w:ascii="仿宋" w:hAnsi="仿宋" w:cs="仿宋" w:hint="eastAsia" w:eastAsia="仿宋"/>
          <w:b w:val="false"/>
          <w:bCs w:val="false"/>
          <w:color w:val="000000"/>
          <w:sz w:val="32"/>
          <w:szCs w:val="32"/>
        </w:rPr>
        <w:t>交通运输</w:t>
      </w:r>
      <w:r>
        <w:rPr>
          <w:rFonts w:ascii="仿宋" w:hAnsi="仿宋" w:cs="仿宋" w:hint="eastAsia" w:eastAsia="仿宋"/>
          <w:color w:val="000000"/>
          <w:sz w:val="32"/>
          <w:szCs w:val="32"/>
        </w:rPr>
        <w:t>等有关部门应当予以配合。</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Style w:val="2CharChar"/>
          <w:rFonts w:hint="eastAsia"/>
          <w:color w:val="000000"/>
        </w:rPr>
        <w:t>第三十</w:t>
      </w:r>
      <w:r>
        <w:rPr>
          <w:rStyle w:val="2CharChar"/>
          <w:rFonts w:hint="eastAsia" w:eastAsia="黑体"/>
          <w:color w:val="000000"/>
        </w:rPr>
        <w:t>五</w:t>
      </w:r>
      <w:r>
        <w:rPr>
          <w:rStyle w:val="2CharChar"/>
          <w:rFonts w:hint="eastAsia"/>
          <w:color w:val="000000"/>
        </w:rPr>
        <w:t>条</w:t>
      </w:r>
      <w:r>
        <w:rPr>
          <w:rFonts w:ascii="仿宋" w:hAnsi="仿宋" w:cs="仿宋" w:hint="eastAsia" w:eastAsia="仿宋"/>
          <w:color w:val="000000"/>
          <w:sz w:val="32"/>
          <w:szCs w:val="32"/>
        </w:rPr>
        <w:t xml:space="preserve">  住宅用户室内供热设施发生漏水等故障，对公共安全和其他用户的利益造成严重影响时，供热单位应当立即采取应急措施，并及时通知相关用户；需要入户抢修而用户不能及时到达现场的，供热单位应当会同公安、社区或者居民委员会人员到达现场入户抢修，有物业服务的，物业服务企业应当予以配合。抢修后，现场人员应当在抢修单上签字，并共同做好用户财产安全保障工作。</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供热单位工作人员在抢修过程中因故意或者重大过失造成用户财产损失的，供热单位应当承担相应赔偿责任；因用户原因造成损失的，由用户承担责任。</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Style w:val="2CharChar"/>
          <w:rFonts w:hint="eastAsia"/>
          <w:color w:val="000000"/>
        </w:rPr>
        <w:t>第三十</w:t>
      </w:r>
      <w:r>
        <w:rPr>
          <w:rStyle w:val="2CharChar"/>
          <w:rFonts w:hint="eastAsia" w:eastAsia="黑体"/>
          <w:color w:val="000000"/>
        </w:rPr>
        <w:t>六</w:t>
      </w:r>
      <w:r>
        <w:rPr>
          <w:rStyle w:val="2CharChar"/>
          <w:rFonts w:hint="eastAsia"/>
          <w:color w:val="000000"/>
        </w:rPr>
        <w:t>条</w:t>
      </w:r>
      <w:r>
        <w:rPr>
          <w:rFonts w:ascii="仿宋" w:hAnsi="仿宋" w:cs="仿宋" w:hint="eastAsia" w:eastAsia="仿宋"/>
          <w:color w:val="000000"/>
          <w:sz w:val="32"/>
          <w:szCs w:val="32"/>
        </w:rPr>
        <w:t xml:space="preserve">  供热单位无法保障安全稳定连续供热、严重影响公共利益，供热行政主管部门协调、督促无效的，经市或者县人民政府批准，供热行政主管部门可以委托符合条件的供热单位实施应急接管，组织接管方与被接管方签订供热设施应急接管协议。接管期间，保障正常供热产生的费用，由被接管方承担。</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实施应急接管的，应当听取被接管方的陈述与申辩，并在其供热范围内公告。所在地街道办事处、乡（镇）人民政府、物业服务企业等单位应当予以配合。</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Style w:val="2CharChar"/>
          <w:rFonts w:hint="eastAsia"/>
          <w:color w:val="000000"/>
        </w:rPr>
        <w:t>第三十</w:t>
      </w:r>
      <w:r>
        <w:rPr>
          <w:rStyle w:val="2CharChar"/>
          <w:rFonts w:hint="eastAsia" w:eastAsia="黑体"/>
          <w:color w:val="000000"/>
        </w:rPr>
        <w:t>七</w:t>
      </w:r>
      <w:r>
        <w:rPr>
          <w:rStyle w:val="2CharChar"/>
          <w:rFonts w:hint="eastAsia"/>
          <w:color w:val="000000"/>
        </w:rPr>
        <w:t>条</w:t>
      </w:r>
      <w:r>
        <w:rPr>
          <w:rFonts w:ascii="仿宋" w:hAnsi="仿宋" w:cs="仿宋" w:hint="eastAsia" w:eastAsia="仿宋"/>
          <w:color w:val="000000"/>
          <w:sz w:val="32"/>
          <w:szCs w:val="32"/>
        </w:rPr>
        <w:t xml:space="preserve">  供热单位有下列情形之一，供热行政主管部门应当实施应急接管：</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（一）供热设施存在重大安全隐患，经有关部门催告，拒不消除的；</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（二）供热设施发生重大故障或者事故，无法在规定期限内恢复供热的；</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（三）擅自停业或者歇业的；</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（四）无故中断供热持续</w:t>
      </w:r>
      <w:r>
        <w:rPr>
          <w:rFonts w:eastAsia="仿宋" w:cs="仿宋" w:hint="eastAsia" w:ascii="仿宋" w:hAnsi="仿宋"/>
          <w:color w:val="000000"/>
          <w:sz w:val="32"/>
          <w:szCs w:val="32"/>
        </w:rPr>
        <w:t>48</w:t>
      </w:r>
      <w:r>
        <w:rPr>
          <w:rFonts w:ascii="仿宋" w:hAnsi="仿宋" w:cs="仿宋" w:hint="eastAsia" w:eastAsia="仿宋"/>
          <w:color w:val="000000"/>
          <w:sz w:val="32"/>
          <w:szCs w:val="32"/>
        </w:rPr>
        <w:t>小时，或者缩短供热运行期的；</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（五）用户投诉量大，反映问题集中且属实，不能保证安全、稳定、连续供热的；</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（六）供热单位申请被接管的；</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（七）其他严重影响供热公共利益的。</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Style w:val="2CharChar"/>
          <w:rFonts w:hint="eastAsia"/>
          <w:color w:val="000000"/>
        </w:rPr>
        <w:t>第三十</w:t>
      </w:r>
      <w:r>
        <w:rPr>
          <w:rStyle w:val="2CharChar"/>
          <w:rFonts w:hint="eastAsia" w:eastAsia="黑体"/>
          <w:color w:val="000000"/>
        </w:rPr>
        <w:t>八</w:t>
      </w:r>
      <w:r>
        <w:rPr>
          <w:rStyle w:val="2CharChar"/>
          <w:rFonts w:hint="eastAsia"/>
          <w:color w:val="000000"/>
        </w:rPr>
        <w:t>条</w:t>
      </w:r>
      <w:r>
        <w:rPr>
          <w:rFonts w:ascii="仿宋" w:hAnsi="仿宋" w:cs="仿宋" w:hint="eastAsia" w:eastAsia="仿宋"/>
          <w:color w:val="000000"/>
          <w:sz w:val="32"/>
          <w:szCs w:val="32"/>
        </w:rPr>
        <w:t xml:space="preserve">  热源单位和供热单位对其管理的重要供热设施，应当设置明显、统一的安全警示识别标志，并采取相应的安全保障措施。</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任何单位和个人不得擅自改装、移动、覆盖、拆除、损坏共用供热设施和供热安全警示识别标志。</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Style w:val="2CharChar"/>
          <w:rFonts w:hint="eastAsia"/>
          <w:color w:val="000000"/>
        </w:rPr>
        <w:t>第</w:t>
      </w:r>
      <w:r>
        <w:rPr>
          <w:rStyle w:val="2CharChar"/>
          <w:rFonts w:hint="eastAsia" w:eastAsia="黑体"/>
          <w:color w:val="000000"/>
        </w:rPr>
        <w:t>三</w:t>
      </w:r>
      <w:r>
        <w:rPr>
          <w:rStyle w:val="2CharChar"/>
          <w:rFonts w:hint="eastAsia"/>
          <w:color w:val="000000"/>
        </w:rPr>
        <w:t>十</w:t>
      </w:r>
      <w:r>
        <w:rPr>
          <w:rStyle w:val="2CharChar"/>
          <w:rFonts w:hint="eastAsia" w:eastAsia="黑体"/>
          <w:color w:val="000000"/>
        </w:rPr>
        <w:t>九</w:t>
      </w:r>
      <w:r>
        <w:rPr>
          <w:rStyle w:val="2CharChar"/>
          <w:rFonts w:hint="eastAsia"/>
          <w:color w:val="000000"/>
        </w:rPr>
        <w:t xml:space="preserve">条 </w:t>
      </w:r>
      <w:r>
        <w:rPr>
          <w:rFonts w:ascii="仿宋" w:hAnsi="仿宋" w:cs="仿宋" w:hint="eastAsia" w:eastAsia="仿宋"/>
          <w:color w:val="000000"/>
          <w:sz w:val="32"/>
          <w:szCs w:val="32"/>
        </w:rPr>
        <w:t xml:space="preserve"> 在共用供热设施保护范围内进行施工的，施工单位在开工前，应当查明有关地下供热管网的情况；影响供热设施运行和安全的，应当与供热单位协商确定相应的保护措施。</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因工程建设确需改建、拆除、迁移供热设施的，施工单位应当与供热单位协商确定方案后方可实施。</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在施工中造成供热设施损坏的，应当及时通知供热单位修复，并承担修复费用，赔偿相应损失。</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Style w:val="2CharChar"/>
          <w:rFonts w:hint="eastAsia"/>
          <w:color w:val="000000"/>
        </w:rPr>
        <w:t xml:space="preserve">第四十条 </w:t>
      </w:r>
      <w:r>
        <w:rPr>
          <w:rFonts w:ascii="仿宋" w:hAnsi="仿宋" w:cs="仿宋" w:hint="eastAsia" w:eastAsia="仿宋"/>
          <w:color w:val="000000"/>
          <w:sz w:val="32"/>
          <w:szCs w:val="32"/>
        </w:rPr>
        <w:t xml:space="preserve"> 在共用供热设施保护范围内，任何单位和个人不得从事建设建筑物、构筑物或者堆放物料，利用供热管道和支架敷设管线、悬挂物体，排放腐蚀性液体以及爆破作业等危害共用供热设施安全的活动。造成供热设施损坏的，应当及时通知供热单位修复，并承担修复费用，赔偿相应损失。</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Style w:val="2CharChar"/>
          <w:rFonts w:hint="eastAsia"/>
          <w:color w:val="000000"/>
        </w:rPr>
        <w:t>第四十</w:t>
      </w:r>
      <w:r>
        <w:rPr>
          <w:rStyle w:val="2CharChar"/>
          <w:rFonts w:hint="eastAsia" w:eastAsia="黑体"/>
          <w:color w:val="000000"/>
        </w:rPr>
        <w:t>一</w:t>
      </w:r>
      <w:r>
        <w:rPr>
          <w:rStyle w:val="2CharChar"/>
          <w:rFonts w:hint="eastAsia"/>
          <w:color w:val="000000"/>
        </w:rPr>
        <w:t xml:space="preserve">条  </w:t>
      </w:r>
      <w:r>
        <w:rPr>
          <w:rFonts w:ascii="仿宋" w:hAnsi="仿宋" w:cs="仿宋" w:hint="eastAsia" w:eastAsia="仿宋"/>
          <w:color w:val="000000"/>
          <w:sz w:val="32"/>
          <w:szCs w:val="32"/>
        </w:rPr>
        <w:t>市、县人民政府应当增加城市老旧供热管网改造和建筑节能改造的资金投入，确保供热设施正常运行，提高城市供热质量和效率。</w:t>
      </w:r>
    </w:p>
    <w:p>
      <w:pPr>
        <w:pStyle w:val="Normal"/>
        <w:keepNext w:val="false"/>
        <w:keepLines w:val="false"/>
        <w:pageBreakBefore w:val="false"/>
        <w:widowControl w:val="false"/>
        <w:kinsoku w:val="true"/>
        <w:overflowPunct w:val="true"/>
        <w:autoSpaceDE w:val="true"/>
        <w:bidi w:val="0"/>
        <w:snapToGrid w:val="true"/>
        <w:spacing w:lineRule="exact" w:line="570"/>
        <w:jc w:val="center"/>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0"/>
        <w:jc w:val="center"/>
        <w:textAlignment w:val="auto"/>
        <w:rPr>
          <w:rFonts w:ascii="仿宋" w:hAnsi="仿宋" w:eastAsia="仿宋" w:cs="仿宋" w:hint="eastAsia"/>
          <w:color w:val="000000"/>
          <w:sz w:val="32"/>
          <w:szCs w:val="32"/>
        </w:rPr>
      </w:pPr>
      <w:bookmarkStart w:id="4" w:name="__RefHeading___Toc13850"/>
      <w:bookmarkEnd w:id="4"/>
      <w:r>
        <w:rPr>
          <w:rFonts w:ascii="黑体" w:hAnsi="黑体" w:cs="黑体" w:hint="eastAsia" w:eastAsia="黑体"/>
          <w:color w:val="000000"/>
          <w:sz w:val="32"/>
          <w:szCs w:val="32"/>
        </w:rPr>
        <w:t>第五章  法律责任</w:t>
      </w:r>
    </w:p>
    <w:p>
      <w:pPr>
        <w:pStyle w:val="Normal"/>
        <w:keepNext w:val="false"/>
        <w:keepLines w:val="false"/>
        <w:pageBreakBefore w:val="false"/>
        <w:widowControl w:val="false"/>
        <w:kinsoku w:val="true"/>
        <w:overflowPunct w:val="true"/>
        <w:autoSpaceDE w:val="true"/>
        <w:bidi w:val="0"/>
        <w:snapToGrid w:val="true"/>
        <w:spacing w:lineRule="exact" w:line="570"/>
        <w:jc w:val="center"/>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Style w:val="2CharChar"/>
          <w:rFonts w:hint="eastAsia"/>
          <w:color w:val="000000"/>
        </w:rPr>
        <w:t>第四十</w:t>
      </w:r>
      <w:r>
        <w:rPr>
          <w:rStyle w:val="2CharChar"/>
          <w:rFonts w:hint="eastAsia" w:eastAsia="黑体"/>
          <w:color w:val="000000"/>
        </w:rPr>
        <w:t>二</w:t>
      </w:r>
      <w:r>
        <w:rPr>
          <w:rStyle w:val="2CharChar"/>
          <w:rFonts w:hint="eastAsia"/>
          <w:color w:val="000000"/>
        </w:rPr>
        <w:t xml:space="preserve">条 </w:t>
      </w:r>
      <w:r>
        <w:rPr>
          <w:rFonts w:ascii="仿宋" w:hAnsi="仿宋" w:cs="仿宋" w:hint="eastAsia" w:eastAsia="仿宋"/>
          <w:color w:val="000000"/>
          <w:sz w:val="32"/>
          <w:szCs w:val="32"/>
        </w:rPr>
        <w:t xml:space="preserve"> 建设单位违反本条例规定，由供热行政主管部门按照下列规定予以处罚：</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（一）未按照供热行政主管部门确定的供热方案进行建设的，责令限期改正；逾期不改正的，处</w:t>
      </w:r>
      <w:r>
        <w:rPr>
          <w:rFonts w:eastAsia="仿宋" w:cs="仿宋" w:hint="eastAsia" w:ascii="仿宋" w:hAnsi="仿宋"/>
          <w:color w:val="000000"/>
          <w:sz w:val="32"/>
          <w:szCs w:val="32"/>
        </w:rPr>
        <w:t>20</w:t>
      </w:r>
      <w:r>
        <w:rPr>
          <w:rFonts w:ascii="仿宋" w:hAnsi="仿宋" w:cs="仿宋" w:hint="eastAsia" w:eastAsia="仿宋"/>
          <w:color w:val="000000"/>
          <w:sz w:val="32"/>
          <w:szCs w:val="32"/>
        </w:rPr>
        <w:t>万元罚款；</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（二）未经验收或者验收不合格的供热工程投入使用的，责令停止使用，限期改正，处供热工程合同价款的</w:t>
      </w:r>
      <w:r>
        <w:rPr>
          <w:rFonts w:eastAsia="仿宋" w:cs="仿宋" w:hint="eastAsia" w:ascii="仿宋" w:hAnsi="仿宋"/>
          <w:color w:val="000000"/>
          <w:sz w:val="32"/>
          <w:szCs w:val="32"/>
        </w:rPr>
        <w:t>15%</w:t>
      </w:r>
      <w:r>
        <w:rPr>
          <w:rFonts w:ascii="仿宋" w:hAnsi="仿宋" w:cs="仿宋" w:hint="eastAsia" w:eastAsia="仿宋"/>
          <w:color w:val="000000"/>
          <w:sz w:val="32"/>
          <w:szCs w:val="32"/>
        </w:rPr>
        <w:t>罚款；</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（三）新建建筑未按照规定安装符合国家相关标准的供热计量和室温调控装置的，责令限期改正；逾期不改正的，住宅建筑按照建筑面积处每平方米</w:t>
      </w:r>
      <w:r>
        <w:rPr>
          <w:rFonts w:eastAsia="仿宋" w:cs="仿宋" w:hint="eastAsia" w:ascii="仿宋" w:hAnsi="仿宋"/>
          <w:color w:val="000000"/>
          <w:sz w:val="32"/>
          <w:szCs w:val="32"/>
        </w:rPr>
        <w:t>25</w:t>
      </w:r>
      <w:r>
        <w:rPr>
          <w:rFonts w:ascii="仿宋" w:hAnsi="仿宋" w:cs="仿宋" w:hint="eastAsia" w:eastAsia="仿宋"/>
          <w:color w:val="000000"/>
          <w:sz w:val="32"/>
          <w:szCs w:val="32"/>
        </w:rPr>
        <w:t>元罚款，非住宅建筑处安装供热计量和室温调控装置所需价款的两倍罚款。</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Style w:val="2CharChar"/>
          <w:rFonts w:hint="eastAsia"/>
          <w:color w:val="000000"/>
        </w:rPr>
        <w:t>第四十</w:t>
      </w:r>
      <w:r>
        <w:rPr>
          <w:rStyle w:val="2CharChar"/>
          <w:rFonts w:hint="eastAsia" w:eastAsia="黑体"/>
          <w:color w:val="000000"/>
        </w:rPr>
        <w:t>三</w:t>
      </w:r>
      <w:r>
        <w:rPr>
          <w:rStyle w:val="2CharChar"/>
          <w:rFonts w:hint="eastAsia"/>
          <w:color w:val="000000"/>
        </w:rPr>
        <w:t>条</w:t>
      </w:r>
      <w:r>
        <w:rPr>
          <w:rFonts w:ascii="仿宋" w:hAnsi="仿宋" w:cs="仿宋" w:hint="eastAsia" w:eastAsia="仿宋"/>
          <w:color w:val="000000"/>
          <w:sz w:val="32"/>
          <w:szCs w:val="32"/>
        </w:rPr>
        <w:t xml:space="preserve">  热源单位或者供热单位违反本条例规定，由供热行政主管部门按照下列规定予以处罚，造成损失的，依法承担赔偿责任：</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（一）未按照供热专项规划确定的管网布局和供热方案，擅自为建设单位接入供热管网的，没收其违法所得，并处</w:t>
      </w:r>
      <w:r>
        <w:rPr>
          <w:rFonts w:eastAsia="仿宋" w:cs="仿宋" w:hint="eastAsia" w:ascii="仿宋" w:hAnsi="仿宋"/>
          <w:color w:val="000000"/>
          <w:sz w:val="32"/>
          <w:szCs w:val="32"/>
        </w:rPr>
        <w:t>10</w:t>
      </w:r>
      <w:r>
        <w:rPr>
          <w:rFonts w:ascii="仿宋" w:hAnsi="仿宋" w:cs="仿宋" w:hint="eastAsia" w:eastAsia="仿宋"/>
          <w:color w:val="000000"/>
          <w:sz w:val="32"/>
          <w:szCs w:val="32"/>
        </w:rPr>
        <w:t>万元罚款；</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（二）未取得供热许可证擅自从事供热经营活动的，责令停止违法活动，没收违法所得，并处</w:t>
      </w:r>
      <w:r>
        <w:rPr>
          <w:rFonts w:eastAsia="仿宋" w:cs="仿宋" w:hint="eastAsia" w:ascii="仿宋" w:hAnsi="仿宋"/>
          <w:color w:val="000000"/>
          <w:sz w:val="32"/>
          <w:szCs w:val="32"/>
        </w:rPr>
        <w:t>10</w:t>
      </w:r>
      <w:r>
        <w:rPr>
          <w:rFonts w:ascii="仿宋" w:hAnsi="仿宋" w:cs="仿宋" w:hint="eastAsia" w:eastAsia="仿宋"/>
          <w:color w:val="000000"/>
          <w:sz w:val="32"/>
          <w:szCs w:val="32"/>
        </w:rPr>
        <w:t>万元罚款；</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（三）擅自转让供热许可证的，责令限期改正；逾期不改正的，处</w:t>
      </w:r>
      <w:r>
        <w:rPr>
          <w:rFonts w:eastAsia="仿宋" w:cs="仿宋" w:hint="eastAsia" w:ascii="仿宋" w:hAnsi="仿宋"/>
          <w:color w:val="000000"/>
          <w:sz w:val="32"/>
          <w:szCs w:val="32"/>
        </w:rPr>
        <w:t>5</w:t>
      </w:r>
      <w:r>
        <w:rPr>
          <w:rFonts w:ascii="仿宋" w:hAnsi="仿宋" w:cs="仿宋" w:hint="eastAsia" w:eastAsia="仿宋"/>
          <w:color w:val="000000"/>
          <w:sz w:val="32"/>
          <w:szCs w:val="32"/>
        </w:rPr>
        <w:t>万元罚款；情节严重的，吊销供热许可证；</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（四）未经批准擅自停业或者歇业的，责令限期改正，处</w:t>
      </w:r>
      <w:r>
        <w:rPr>
          <w:rFonts w:eastAsia="仿宋" w:cs="仿宋" w:hint="eastAsia" w:ascii="仿宋" w:hAnsi="仿宋"/>
          <w:color w:val="000000"/>
          <w:sz w:val="32"/>
          <w:szCs w:val="32"/>
        </w:rPr>
        <w:t>10</w:t>
      </w:r>
      <w:r>
        <w:rPr>
          <w:rFonts w:ascii="仿宋" w:hAnsi="仿宋" w:cs="仿宋" w:hint="eastAsia" w:eastAsia="仿宋"/>
          <w:color w:val="000000"/>
          <w:sz w:val="32"/>
          <w:szCs w:val="32"/>
        </w:rPr>
        <w:t>万元罚款；</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（五）擅自推迟供热或者提前停热的，责令按照推迟供热或者提前停热日数退还用户两倍热费，并处以等额罚款；</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（六）在供热期内擅自停止供热的，责令限期改正，处</w:t>
      </w:r>
      <w:r>
        <w:rPr>
          <w:rFonts w:eastAsia="仿宋" w:cs="仿宋" w:hint="eastAsia" w:ascii="仿宋" w:hAnsi="仿宋"/>
          <w:color w:val="000000"/>
          <w:sz w:val="32"/>
          <w:szCs w:val="32"/>
        </w:rPr>
        <w:t>10</w:t>
      </w:r>
      <w:r>
        <w:rPr>
          <w:rFonts w:ascii="仿宋" w:hAnsi="仿宋" w:cs="仿宋" w:hint="eastAsia" w:eastAsia="仿宋"/>
          <w:color w:val="000000"/>
          <w:sz w:val="32"/>
          <w:szCs w:val="32"/>
        </w:rPr>
        <w:t>万元罚款；</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（七）分散锅炉间歇式供热每天运行时间少于</w:t>
      </w:r>
      <w:r>
        <w:rPr>
          <w:rFonts w:eastAsia="仿宋" w:cs="仿宋" w:hint="eastAsia" w:ascii="仿宋" w:hAnsi="仿宋"/>
          <w:color w:val="000000"/>
          <w:sz w:val="32"/>
          <w:szCs w:val="32"/>
        </w:rPr>
        <w:t>16</w:t>
      </w:r>
      <w:r>
        <w:rPr>
          <w:rFonts w:ascii="仿宋" w:hAnsi="仿宋" w:cs="仿宋" w:hint="eastAsia" w:eastAsia="仿宋"/>
          <w:color w:val="000000"/>
          <w:sz w:val="32"/>
          <w:szCs w:val="32"/>
        </w:rPr>
        <w:t>小时的，处</w:t>
      </w:r>
      <w:r>
        <w:rPr>
          <w:rFonts w:eastAsia="仿宋" w:cs="仿宋" w:hint="eastAsia" w:ascii="仿宋" w:hAnsi="仿宋"/>
          <w:color w:val="000000"/>
          <w:sz w:val="32"/>
          <w:szCs w:val="32"/>
        </w:rPr>
        <w:t>1</w:t>
      </w:r>
      <w:r>
        <w:rPr>
          <w:rFonts w:ascii="仿宋" w:hAnsi="仿宋" w:cs="仿宋" w:hint="eastAsia" w:eastAsia="仿宋"/>
          <w:color w:val="000000"/>
          <w:sz w:val="32"/>
          <w:szCs w:val="32"/>
        </w:rPr>
        <w:t>万元罚款；</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（八）在供热期内供热设施发生故障，需要停热八小时以上未及时通知用户的，处</w:t>
      </w:r>
      <w:r>
        <w:rPr>
          <w:rFonts w:eastAsia="仿宋" w:cs="仿宋" w:hint="eastAsia" w:ascii="仿宋" w:hAnsi="仿宋"/>
          <w:color w:val="000000"/>
          <w:sz w:val="32"/>
          <w:szCs w:val="32"/>
        </w:rPr>
        <w:t>5000</w:t>
      </w:r>
      <w:r>
        <w:rPr>
          <w:rFonts w:ascii="仿宋" w:hAnsi="仿宋" w:cs="仿宋" w:hint="eastAsia" w:eastAsia="仿宋"/>
          <w:color w:val="000000"/>
          <w:sz w:val="32"/>
          <w:szCs w:val="32"/>
        </w:rPr>
        <w:t>元罚款；未立即组织抢修恢复供热的，责令限期改正，处</w:t>
      </w:r>
      <w:r>
        <w:rPr>
          <w:rFonts w:eastAsia="仿宋" w:cs="仿宋" w:hint="eastAsia" w:ascii="仿宋" w:hAnsi="仿宋"/>
          <w:color w:val="000000"/>
          <w:sz w:val="32"/>
          <w:szCs w:val="32"/>
        </w:rPr>
        <w:t>2</w:t>
      </w:r>
      <w:r>
        <w:rPr>
          <w:rFonts w:ascii="仿宋" w:hAnsi="仿宋" w:cs="仿宋" w:hint="eastAsia" w:eastAsia="仿宋"/>
          <w:color w:val="000000"/>
          <w:sz w:val="32"/>
          <w:szCs w:val="32"/>
        </w:rPr>
        <w:t>万元罚款；逾期不改正的，处</w:t>
      </w:r>
      <w:r>
        <w:rPr>
          <w:rFonts w:eastAsia="仿宋" w:cs="仿宋" w:hint="eastAsia" w:ascii="仿宋" w:hAnsi="仿宋"/>
          <w:color w:val="000000"/>
          <w:sz w:val="32"/>
          <w:szCs w:val="32"/>
        </w:rPr>
        <w:t>10</w:t>
      </w:r>
      <w:r>
        <w:rPr>
          <w:rFonts w:ascii="仿宋" w:hAnsi="仿宋" w:cs="仿宋" w:hint="eastAsia" w:eastAsia="仿宋"/>
          <w:color w:val="000000"/>
          <w:sz w:val="32"/>
          <w:szCs w:val="32"/>
        </w:rPr>
        <w:t>万元罚款；</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（九）对具备热计量收费条件未实行热计量收费的，责令限期改正；逾期不改正的，处</w:t>
      </w:r>
      <w:r>
        <w:rPr>
          <w:rFonts w:eastAsia="仿宋" w:cs="仿宋" w:hint="eastAsia" w:ascii="仿宋" w:hAnsi="仿宋"/>
          <w:color w:val="000000"/>
          <w:sz w:val="32"/>
          <w:szCs w:val="32"/>
        </w:rPr>
        <w:t>10</w:t>
      </w:r>
      <w:r>
        <w:rPr>
          <w:rFonts w:ascii="仿宋" w:hAnsi="仿宋" w:cs="仿宋" w:hint="eastAsia" w:eastAsia="仿宋"/>
          <w:color w:val="000000"/>
          <w:sz w:val="32"/>
          <w:szCs w:val="32"/>
        </w:rPr>
        <w:t>万元罚款；</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（十）连续两个供热期供热质量综合评价不合格的，吊销供热经营许可证。</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Style w:val="2CharChar"/>
          <w:rFonts w:hint="eastAsia"/>
          <w:color w:val="000000"/>
        </w:rPr>
        <w:t>第四十</w:t>
      </w:r>
      <w:r>
        <w:rPr>
          <w:rStyle w:val="2CharChar"/>
          <w:rFonts w:hint="eastAsia" w:eastAsia="黑体"/>
          <w:color w:val="000000"/>
        </w:rPr>
        <w:t>四</w:t>
      </w:r>
      <w:r>
        <w:rPr>
          <w:rStyle w:val="2CharChar"/>
          <w:rFonts w:hint="eastAsia"/>
          <w:color w:val="000000"/>
        </w:rPr>
        <w:t>条</w:t>
      </w:r>
      <w:r>
        <w:rPr>
          <w:rFonts w:ascii="仿宋" w:hAnsi="仿宋" w:cs="仿宋" w:hint="eastAsia" w:eastAsia="仿宋"/>
          <w:color w:val="000000"/>
          <w:sz w:val="32"/>
          <w:szCs w:val="32"/>
        </w:rPr>
        <w:t xml:space="preserve">  用户违反本条例规定，有下列行为之一的，由供热行政主管部门责令限期改正；逾期不改正的，处</w:t>
      </w:r>
      <w:r>
        <w:rPr>
          <w:rFonts w:eastAsia="仿宋" w:cs="仿宋" w:hint="eastAsia" w:ascii="仿宋" w:hAnsi="仿宋"/>
          <w:color w:val="000000"/>
          <w:sz w:val="32"/>
          <w:szCs w:val="32"/>
        </w:rPr>
        <w:t>1000</w:t>
      </w:r>
      <w:r>
        <w:rPr>
          <w:rFonts w:ascii="仿宋" w:hAnsi="仿宋" w:cs="仿宋" w:hint="eastAsia" w:eastAsia="仿宋"/>
          <w:color w:val="000000"/>
          <w:sz w:val="32"/>
          <w:szCs w:val="32"/>
        </w:rPr>
        <w:t>元罚款；造成损失的，依法承担赔偿责任。</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（一）擅自改动室内供热设施，确实影响供热质量的；</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（二）擅自安装放水阀、循环泵的；</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（三）擅自开启、调节、移动、拆除供热阀门及铅封、计量器具等的；</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（四）排放和取用供热设施内的热水或者蒸汽的；</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（五）擅自扩大供热面积的；</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（六）阻碍供热单位对供热设施进行维护、管理的。</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Style w:val="2CharChar"/>
          <w:rFonts w:hint="eastAsia"/>
          <w:color w:val="000000"/>
        </w:rPr>
        <w:t>第四十</w:t>
      </w:r>
      <w:r>
        <w:rPr>
          <w:rStyle w:val="2CharChar"/>
          <w:rFonts w:hint="eastAsia" w:eastAsia="黑体"/>
          <w:color w:val="000000"/>
        </w:rPr>
        <w:t>五</w:t>
      </w:r>
      <w:r>
        <w:rPr>
          <w:rStyle w:val="2CharChar"/>
          <w:rFonts w:hint="eastAsia"/>
          <w:color w:val="000000"/>
        </w:rPr>
        <w:t>条</w:t>
      </w:r>
      <w:r>
        <w:rPr>
          <w:rFonts w:ascii="仿宋" w:hAnsi="仿宋" w:cs="仿宋" w:hint="eastAsia" w:eastAsia="仿宋"/>
          <w:color w:val="000000"/>
          <w:sz w:val="32"/>
          <w:szCs w:val="32"/>
        </w:rPr>
        <w:t xml:space="preserve">  违反本条例规定，擅自改装、移动、覆盖、拆除、损坏共用供热设施和供热安全警示识别标志的，由供热行政主管部门责令限期改正；逾期不改正的，对个人处</w:t>
      </w:r>
      <w:r>
        <w:rPr>
          <w:rFonts w:eastAsia="仿宋" w:cs="仿宋" w:hint="eastAsia" w:ascii="仿宋" w:hAnsi="仿宋"/>
          <w:color w:val="000000"/>
          <w:sz w:val="32"/>
          <w:szCs w:val="32"/>
        </w:rPr>
        <w:t>1000</w:t>
      </w:r>
      <w:r>
        <w:rPr>
          <w:rFonts w:ascii="仿宋" w:hAnsi="仿宋" w:cs="仿宋" w:hint="eastAsia" w:eastAsia="仿宋"/>
          <w:color w:val="000000"/>
          <w:sz w:val="32"/>
          <w:szCs w:val="32"/>
        </w:rPr>
        <w:t>元罚款，对单位处</w:t>
      </w:r>
      <w:r>
        <w:rPr>
          <w:rFonts w:eastAsia="仿宋" w:cs="仿宋" w:hint="eastAsia" w:ascii="仿宋" w:hAnsi="仿宋"/>
          <w:color w:val="000000"/>
          <w:sz w:val="32"/>
          <w:szCs w:val="32"/>
        </w:rPr>
        <w:t>2</w:t>
      </w:r>
      <w:r>
        <w:rPr>
          <w:rFonts w:ascii="仿宋" w:hAnsi="仿宋" w:cs="仿宋" w:hint="eastAsia" w:eastAsia="仿宋"/>
          <w:color w:val="000000"/>
          <w:sz w:val="32"/>
          <w:szCs w:val="32"/>
        </w:rPr>
        <w:t>万元罚款；造成损失的，依法承担赔偿责任。</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Style w:val="2CharChar"/>
          <w:rFonts w:hint="eastAsia"/>
          <w:color w:val="000000"/>
        </w:rPr>
        <w:t>第四十</w:t>
      </w:r>
      <w:r>
        <w:rPr>
          <w:rStyle w:val="2CharChar"/>
          <w:rFonts w:hint="eastAsia" w:eastAsia="黑体"/>
          <w:color w:val="000000"/>
        </w:rPr>
        <w:t>六</w:t>
      </w:r>
      <w:r>
        <w:rPr>
          <w:rStyle w:val="2CharChar"/>
          <w:rFonts w:hint="eastAsia"/>
          <w:color w:val="000000"/>
        </w:rPr>
        <w:t xml:space="preserve">条 </w:t>
      </w:r>
      <w:r>
        <w:rPr>
          <w:rFonts w:ascii="仿宋" w:hAnsi="仿宋" w:cs="仿宋" w:hint="eastAsia" w:eastAsia="仿宋"/>
          <w:color w:val="000000"/>
          <w:sz w:val="32"/>
          <w:szCs w:val="32"/>
        </w:rPr>
        <w:t xml:space="preserve"> 违反本条例规定，在共用供热设施保护范围内，从事建设建筑物、构筑物或者堆放物料，利用供热管道和支架敷设管线、悬挂物体，排放腐蚀性液体以及爆破作业等危害共用供热设施安全活动的，由供热行政主管部门责令停止危害行为，未造成共用供热设施损坏但拒不停止危害行为的，可处</w:t>
      </w:r>
      <w:r>
        <w:rPr>
          <w:rFonts w:eastAsia="仿宋" w:cs="仿宋" w:hint="eastAsia" w:ascii="仿宋" w:hAnsi="仿宋"/>
          <w:color w:val="000000"/>
          <w:sz w:val="32"/>
          <w:szCs w:val="32"/>
        </w:rPr>
        <w:t>2000</w:t>
      </w:r>
      <w:r>
        <w:rPr>
          <w:rFonts w:ascii="仿宋" w:hAnsi="仿宋" w:cs="仿宋" w:hint="eastAsia" w:eastAsia="仿宋"/>
          <w:color w:val="000000"/>
          <w:sz w:val="32"/>
          <w:szCs w:val="32"/>
        </w:rPr>
        <w:t>元罚款；造成共用供热设施损坏的，除责令赔偿损失外，可处赔偿费</w:t>
      </w:r>
      <w:r>
        <w:rPr>
          <w:rFonts w:eastAsia="仿宋" w:cs="仿宋" w:hint="eastAsia" w:ascii="仿宋" w:hAnsi="仿宋"/>
          <w:color w:val="000000"/>
          <w:sz w:val="32"/>
          <w:szCs w:val="32"/>
        </w:rPr>
        <w:t>5</w:t>
      </w:r>
      <w:r>
        <w:rPr>
          <w:rFonts w:ascii="仿宋" w:hAnsi="仿宋" w:cs="仿宋" w:hint="eastAsia" w:eastAsia="仿宋"/>
          <w:color w:val="000000"/>
          <w:sz w:val="32"/>
          <w:szCs w:val="32"/>
        </w:rPr>
        <w:t>倍的罚款，但最高不得超过</w:t>
      </w:r>
      <w:r>
        <w:rPr>
          <w:rFonts w:eastAsia="仿宋" w:cs="仿宋" w:hint="eastAsia" w:ascii="仿宋" w:hAnsi="仿宋"/>
          <w:color w:val="000000"/>
          <w:sz w:val="32"/>
          <w:szCs w:val="32"/>
        </w:rPr>
        <w:t>2</w:t>
      </w:r>
      <w:r>
        <w:rPr>
          <w:rFonts w:ascii="仿宋" w:hAnsi="仿宋" w:cs="仿宋" w:hint="eastAsia" w:eastAsia="仿宋"/>
          <w:color w:val="000000"/>
          <w:sz w:val="32"/>
          <w:szCs w:val="32"/>
        </w:rPr>
        <w:t>万元；构成治安管理处罚的，由公安机关依法给予处罚；构成犯罪的，依法追究刑事责任。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Style w:val="2CharChar"/>
          <w:rFonts w:hint="eastAsia"/>
          <w:color w:val="000000"/>
        </w:rPr>
        <w:t>第四十</w:t>
      </w:r>
      <w:r>
        <w:rPr>
          <w:rStyle w:val="2CharChar"/>
          <w:rFonts w:hint="eastAsia" w:eastAsia="黑体"/>
          <w:color w:val="000000"/>
        </w:rPr>
        <w:t>七</w:t>
      </w:r>
      <w:r>
        <w:rPr>
          <w:rStyle w:val="2CharChar"/>
          <w:rFonts w:hint="eastAsia"/>
          <w:color w:val="000000"/>
        </w:rPr>
        <w:t>条</w:t>
      </w:r>
      <w:r>
        <w:rPr>
          <w:rFonts w:ascii="仿宋" w:hAnsi="仿宋" w:cs="仿宋" w:hint="eastAsia" w:eastAsia="仿宋"/>
          <w:color w:val="000000"/>
          <w:sz w:val="32"/>
          <w:szCs w:val="32"/>
        </w:rPr>
        <w:t xml:space="preserve">  供热行政主管部门和其他有关部门及其工作人员违反本条例规定，有下列行为之一的，由其所在单位或者上级主管部门对直接负责的主管人员和其他直接责任人员，依法给予行政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（一）擅自变更经批准的供热专项规划的；</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（二）未依法审批供热工程项目和供热许可证的；</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（三）未依法审批供热单位停业、歇业的；</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（四）贪污、挪用供热建设资金、供热救助资金的；</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（五）未依法履行对供热单位的监督检查职责的；</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（六）接到供用热举报和投诉拒不受理或者不及时处理，以及发现违法行为拒不查处的；</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（七）出现供热突发事件，未及时采取应急措施，造成严重后果的；</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（八）其他滥用职权、玩忽职守、徇私舞弊行为的。</w:t>
      </w:r>
    </w:p>
    <w:p>
      <w:pPr>
        <w:pStyle w:val="Normal"/>
        <w:keepNext w:val="false"/>
        <w:keepLines w:val="false"/>
        <w:pageBreakBefore w:val="false"/>
        <w:widowControl w:val="false"/>
        <w:kinsoku w:val="true"/>
        <w:overflowPunct w:val="true"/>
        <w:autoSpaceDE w:val="true"/>
        <w:bidi w:val="0"/>
        <w:snapToGrid w:val="true"/>
        <w:spacing w:lineRule="exact" w:line="570"/>
        <w:jc w:val="center"/>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0"/>
        <w:jc w:val="center"/>
        <w:textAlignment w:val="auto"/>
        <w:rPr>
          <w:rFonts w:ascii="黑体" w:hAnsi="黑体" w:eastAsia="黑体" w:cs="黑体" w:hint="eastAsia"/>
          <w:color w:val="000000"/>
          <w:sz w:val="32"/>
          <w:szCs w:val="32"/>
        </w:rPr>
      </w:pPr>
      <w:bookmarkStart w:id="5" w:name="__RefHeading___Toc19490"/>
      <w:r>
        <w:rPr>
          <w:rFonts w:ascii="黑体" w:hAnsi="黑体" w:cs="黑体" w:hint="eastAsia" w:eastAsia="黑体"/>
          <w:color w:val="000000"/>
          <w:sz w:val="32"/>
          <w:szCs w:val="32"/>
        </w:rPr>
        <w:t xml:space="preserve">第六章  </w:t>
      </w:r>
      <w:bookmarkEnd w:id="5"/>
      <w:r>
        <w:rPr>
          <w:rFonts w:ascii="黑体" w:hAnsi="黑体" w:cs="黑体" w:hint="eastAsia" w:eastAsia="黑体"/>
          <w:color w:val="000000"/>
          <w:sz w:val="32"/>
          <w:szCs w:val="32"/>
        </w:rPr>
        <w:t>附则</w:t>
      </w:r>
    </w:p>
    <w:p>
      <w:pPr>
        <w:pStyle w:val="Normal"/>
        <w:keepNext w:val="false"/>
        <w:keepLines w:val="false"/>
        <w:pageBreakBefore w:val="false"/>
        <w:widowControl w:val="false"/>
        <w:kinsoku w:val="true"/>
        <w:overflowPunct w:val="true"/>
        <w:autoSpaceDE w:val="true"/>
        <w:bidi w:val="0"/>
        <w:snapToGrid w:val="true"/>
        <w:spacing w:lineRule="exact" w:line="570"/>
        <w:jc w:val="center"/>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Style w:val="2CharChar"/>
          <w:rFonts w:hint="eastAsia"/>
          <w:color w:val="000000"/>
        </w:rPr>
        <w:t>第四十</w:t>
      </w:r>
      <w:r>
        <w:rPr>
          <w:rStyle w:val="2CharChar"/>
          <w:rFonts w:hint="eastAsia" w:eastAsia="黑体"/>
          <w:color w:val="000000"/>
        </w:rPr>
        <w:t>八</w:t>
      </w:r>
      <w:r>
        <w:rPr>
          <w:rStyle w:val="2CharChar"/>
          <w:rFonts w:hint="eastAsia"/>
          <w:color w:val="000000"/>
        </w:rPr>
        <w:t>条</w:t>
      </w:r>
      <w:r>
        <w:rPr>
          <w:rFonts w:ascii="仿宋" w:hAnsi="仿宋" w:cs="仿宋" w:hint="eastAsia" w:eastAsia="仿宋"/>
          <w:color w:val="000000"/>
          <w:sz w:val="32"/>
          <w:szCs w:val="32"/>
        </w:rPr>
        <w:t xml:space="preserve">  本条例所称城市供热，是指在城市规划区及其他实行城市化管理的地区内由热源产生的蒸汽、热水通过管网为用户提供生产和生活用热的行为。</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本条例所称热源单位，是指利用自行生产的热能为供热单位提供热能的单位。</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本条例所称供热单位，是指取得供热许可证，利用热源单位提供或者自行生产的热能从事供热经营的单位。</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本条例所称热用户，是指消费供热单位热能的单位和个人。</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color w:val="000000"/>
          <w:sz w:val="32"/>
          <w:szCs w:val="32"/>
        </w:rPr>
      </w:pPr>
      <w:r>
        <w:rPr>
          <w:rStyle w:val="2CharChar"/>
          <w:rFonts w:hint="eastAsia"/>
          <w:color w:val="000000"/>
        </w:rPr>
        <w:t>第</w:t>
      </w:r>
      <w:r>
        <w:rPr>
          <w:rStyle w:val="2CharChar"/>
          <w:rFonts w:hint="eastAsia" w:eastAsia="黑体"/>
          <w:color w:val="000000"/>
        </w:rPr>
        <w:t>四</w:t>
      </w:r>
      <w:r>
        <w:rPr>
          <w:rStyle w:val="2CharChar"/>
          <w:rFonts w:hint="eastAsia"/>
          <w:color w:val="000000"/>
        </w:rPr>
        <w:t>十</w:t>
      </w:r>
      <w:r>
        <w:rPr>
          <w:rStyle w:val="2CharChar"/>
          <w:rFonts w:hint="eastAsia" w:eastAsia="黑体"/>
          <w:color w:val="000000"/>
        </w:rPr>
        <w:t>九</w:t>
      </w:r>
      <w:r>
        <w:rPr>
          <w:rStyle w:val="2CharChar"/>
          <w:rFonts w:hint="eastAsia"/>
          <w:color w:val="000000"/>
        </w:rPr>
        <w:t xml:space="preserve">条 </w:t>
      </w:r>
      <w:r>
        <w:rPr>
          <w:rFonts w:ascii="仿宋" w:hAnsi="仿宋" w:cs="仿宋" w:hint="eastAsia" w:eastAsia="仿宋"/>
          <w:color w:val="000000"/>
          <w:sz w:val="32"/>
          <w:szCs w:val="32"/>
        </w:rPr>
        <w:t xml:space="preserve"> 本条例自</w:t>
      </w:r>
      <w:r>
        <w:rPr>
          <w:rFonts w:eastAsia="仿宋" w:cs="仿宋" w:hint="eastAsia" w:ascii="仿宋" w:hAnsi="仿宋"/>
          <w:color w:val="000000"/>
          <w:sz w:val="32"/>
          <w:szCs w:val="32"/>
        </w:rPr>
        <w:t>2014</w:t>
      </w:r>
      <w:r>
        <w:rPr>
          <w:rFonts w:ascii="仿宋" w:hAnsi="仿宋" w:cs="仿宋" w:hint="eastAsia" w:eastAsia="仿宋"/>
          <w:color w:val="000000"/>
          <w:sz w:val="32"/>
          <w:szCs w:val="32"/>
        </w:rPr>
        <w:t>年</w:t>
      </w:r>
      <w:r>
        <w:rPr>
          <w:rFonts w:eastAsia="仿宋" w:cs="仿宋" w:hint="eastAsia" w:ascii="仿宋" w:hAnsi="仿宋"/>
          <w:color w:val="000000"/>
          <w:sz w:val="32"/>
          <w:szCs w:val="32"/>
        </w:rPr>
        <w:t>8</w:t>
      </w:r>
      <w:r>
        <w:rPr>
          <w:rFonts w:ascii="仿宋" w:hAnsi="仿宋" w:cs="仿宋" w:hint="eastAsia" w:eastAsia="仿宋"/>
          <w:color w:val="000000"/>
          <w:sz w:val="32"/>
          <w:szCs w:val="32"/>
        </w:rPr>
        <w:t>月</w:t>
      </w:r>
      <w:r>
        <w:rPr>
          <w:rFonts w:eastAsia="仿宋" w:cs="仿宋" w:hint="eastAsia" w:ascii="仿宋" w:hAnsi="仿宋"/>
          <w:color w:val="000000"/>
          <w:sz w:val="32"/>
          <w:szCs w:val="32"/>
        </w:rPr>
        <w:t>1</w:t>
      </w:r>
      <w:r>
        <w:rPr>
          <w:rFonts w:ascii="仿宋" w:hAnsi="仿宋" w:cs="仿宋" w:hint="eastAsia" w:eastAsia="仿宋"/>
          <w:color w:val="000000"/>
          <w:sz w:val="32"/>
          <w:szCs w:val="32"/>
        </w:rPr>
        <w:t>日起施行。</w:t>
      </w:r>
    </w:p>
    <w:p>
      <w:pPr>
        <w:pStyle w:val="Normal"/>
        <w:keepNext w:val="false"/>
        <w:keepLines w:val="false"/>
        <w:pageBreakBefore w:val="false"/>
        <w:widowControl w:val="false"/>
        <w:kinsoku w:val="true"/>
        <w:overflowPunct w:val="true"/>
        <w:autoSpaceDE w:val="true"/>
        <w:bidi w:val="0"/>
        <w:snapToGrid w:val="true"/>
        <w:spacing w:lineRule="exact" w:line="570"/>
        <w:textAlignment w:val="auto"/>
        <w:rPr>
          <w:rFonts w:ascii="仿宋" w:hAnsi="仿宋" w:eastAsia="仿宋" w:cs="仿宋"/>
          <w:color w:val="000000"/>
          <w:sz w:val="32"/>
          <w:szCs w:val="32"/>
        </w:rPr>
      </w:pPr>
      <w:r>
        <w:rPr>
          <w:rFonts w:eastAsia="仿宋" w:cs="仿宋" w:ascii="仿宋" w:hAnsi="仿宋"/>
          <w:color w:val="000000"/>
          <w:sz w:val="32"/>
          <w:szCs w:val="32"/>
        </w:rPr>
      </w:r>
    </w:p>
    <w:sectPr>
      <w:footerReference w:type="default" r:id="rId2"/>
      <w:type w:val="nextPage"/>
      <w:pgSz w:w="11906" w:h="16838"/>
      <w:pgMar w:left="1587" w:right="1474" w:gutter="0" w:header="0" w:top="1984" w:footer="1417" w:bottom="1701"/>
      <w:pgNumType w:fmt="decimal"/>
      <w:formProt w:val="false"/>
      <w:textDirection w:val="lrTb"/>
      <w:docGrid w:type="lines" w:linePitch="318"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default"/>
  </w:font>
  <w:font w:name="Arial">
    <w:charset w:val="01"/>
    <w:family w:val="swiss"/>
    <w:pitch w:val="default"/>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仿宋">
    <w:charset w:val="86"/>
    <w:family w:val="auto"/>
    <w:pitch w:val="default"/>
  </w:font>
  <w:font w:name="楷体">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18" behindDoc="1" locked="0" layoutInCell="0" allowOverlap="1">
              <wp:simplePos x="0" y="0"/>
              <wp:positionH relativeFrom="margin">
                <wp:align>outside</wp:align>
              </wp:positionH>
              <wp:positionV relativeFrom="paragraph">
                <wp:posOffset>-21590</wp:posOffset>
              </wp:positionV>
              <wp:extent cx="543560" cy="544195"/>
              <wp:effectExtent l="0" t="0" r="0" b="0"/>
              <wp:wrapNone/>
              <wp:docPr id="1" name="Frame1"/>
              <a:graphic xmlns:a="http://schemas.openxmlformats.org/drawingml/2006/main">
                <a:graphicData uri="http://schemas.microsoft.com/office/word/2010/wordprocessingShape">
                  <wps:wsp>
                    <wps:cNvSpPr txBox="1"/>
                    <wps:spPr>
                      <a:xfrm>
                        <a:off x="0" y="0"/>
                        <a:ext cx="543560" cy="544195"/>
                      </a:xfrm>
                      <a:prstGeom prst="rect"/>
                      <a:solidFill>
                        <a:srgbClr val="FFFFFF">
                          <a:alpha val="0"/>
                        </a:srgbClr>
                      </a:solidFill>
                    </wps:spPr>
                    <wps:txbx>
                      <w:txbxContent>
                        <w:p>
                          <w:pPr>
                            <w:pStyle w:val="Footer"/>
                            <w:ind w:firstLineChars="0" w:firstLine="0" w:startChars="0" w:start="0" w:endChars="200"/>
                            <w:rPr>
                              <w:rFonts w:ascii="宋体" w:hAnsi="宋体" w:cs="宋体" w:hint="eastAsia"/>
                              <w:sz w:val="28"/>
                              <w:szCs w:val="28"/>
                            </w:rPr>
                          </w:pP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17</w:t>
                          </w:r>
                          <w:r>
                            <w:rPr>
                              <w:rFonts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42.8pt;height:42.85pt;mso-wrap-distance-left:9.05pt;mso-wrap-distance-right:0pt;mso-wrap-distance-top:0pt;mso-wrap-distance-bottom:0pt;margin-top:-1.7pt;mso-position-vertical-relative:text;margin-left:399.45pt;mso-position-horizontal:outside;mso-position-horizontal-relative:margin">
              <v:fill opacity="0f"/>
              <v:textbox inset="0.000694444444444445in,0.000694444444444445in,0.000694444444444445in,0.000694444444444445in">
                <w:txbxContent>
                  <w:p>
                    <w:pPr>
                      <w:pStyle w:val="Footer"/>
                      <w:ind w:firstLineChars="0" w:firstLine="0" w:startChars="0" w:start="0" w:endChars="200"/>
                      <w:rPr>
                        <w:rFonts w:ascii="宋体" w:hAnsi="宋体" w:cs="宋体" w:hint="eastAsia"/>
                        <w:sz w:val="28"/>
                        <w:szCs w:val="28"/>
                      </w:rPr>
                    </w:pP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17</w:t>
                    </w:r>
                    <w:r>
                      <w:rPr>
                        <w:rFonts w:cs="宋体" w:hint="eastAsia" w:ascii="宋体" w:hAnsi="宋体"/>
                        <w:sz w:val="28"/>
                        <w:szCs w:val="28"/>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30"/>
  <w:defaultTabStop w:val="420"/>
  <w:autoHyphenation w:val="true"/>
  <w:hyphenationZone w:val="0"/>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2"/>
      <w:lang w:val="en-US" w:eastAsia="zh-CN" w:bidi="hi-IN"/>
    </w:rPr>
  </w:style>
  <w:style w:type="paragraph" w:styleId="Heading1">
    <w:name w:val="heading 1"/>
    <w:basedOn w:val="Normal"/>
    <w:next w:val="Normal"/>
    <w:qFormat/>
    <w:pPr>
      <w:keepNext w:val="true"/>
      <w:keepLines/>
      <w:numPr>
        <w:ilvl w:val="0"/>
        <w:numId w:val="1"/>
      </w:numPr>
      <w:spacing w:lineRule="exact" w:line="560"/>
      <w:jc w:val="center"/>
      <w:outlineLvl w:val="0"/>
    </w:pPr>
    <w:rPr>
      <w:rFonts w:ascii="Calibri" w:hAnsi="Calibri" w:eastAsia="黑体" w:cs="Calibri"/>
      <w:kern w:val="2"/>
      <w:sz w:val="32"/>
    </w:rPr>
  </w:style>
  <w:style w:type="paragraph" w:styleId="Heading2">
    <w:name w:val="heading 2"/>
    <w:basedOn w:val="Normal"/>
    <w:next w:val="Normal"/>
    <w:qFormat/>
    <w:pPr>
      <w:keepNext w:val="true"/>
      <w:keepLines/>
      <w:numPr>
        <w:ilvl w:val="1"/>
        <w:numId w:val="1"/>
      </w:numPr>
      <w:spacing w:lineRule="exact" w:line="560"/>
      <w:ind w:firstLineChars="200" w:startChars="0" w:start="0" w:endChars="0" w:end="0"/>
      <w:outlineLvl w:val="1"/>
    </w:pPr>
    <w:rPr>
      <w:rFonts w:ascii="Arial" w:hAnsi="Arial" w:eastAsia="黑体" w:cs="Arial"/>
      <w:sz w:val="32"/>
    </w:rPr>
  </w:style>
  <w:style w:type="paragraph" w:styleId="Heading3">
    <w:name w:val="heading 3"/>
    <w:basedOn w:val="Normal"/>
    <w:next w:val="Normal"/>
    <w:qFormat/>
    <w:pPr>
      <w:keepNext w:val="true"/>
      <w:keepLines/>
      <w:numPr>
        <w:ilvl w:val="2"/>
        <w:numId w:val="1"/>
      </w:numPr>
      <w:spacing w:lineRule="exact" w:line="560" w:before="624" w:after="312"/>
      <w:jc w:val="center"/>
      <w:outlineLvl w:val="2"/>
    </w:pPr>
    <w:rPr>
      <w:sz w:val="44"/>
    </w:rPr>
  </w:style>
  <w:style w:type="character" w:styleId="Style11">
    <w:name w:val="默认段落字体"/>
    <w:qFormat/>
    <w:rPr/>
  </w:style>
  <w:style w:type="character" w:styleId="1CharChar">
    <w:name w:val="标题 1 Char Char"/>
    <w:qFormat/>
    <w:rPr>
      <w:rFonts w:ascii="Calibri" w:hAnsi="Calibri" w:eastAsia="黑体" w:cs="Calibri"/>
      <w:kern w:val="2"/>
      <w:sz w:val="32"/>
    </w:rPr>
  </w:style>
  <w:style w:type="character" w:styleId="2CharChar">
    <w:name w:val="标题 2 Char Char"/>
    <w:qFormat/>
    <w:rPr>
      <w:rFonts w:ascii="Arial" w:hAnsi="Arial" w:eastAsia="黑体" w:cs="Arial"/>
      <w:sz w:val="32"/>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pPr>
    <w:rPr>
      <w:sz w:val="18"/>
    </w:rPr>
  </w:style>
  <w:style w:type="paragraph" w:styleId="TOC1">
    <w:name w:val="toc 1"/>
    <w:basedOn w:val="Normal"/>
    <w:next w:val="Normal"/>
    <w:pPr>
      <w:spacing w:lineRule="exact" w:line="560"/>
      <w:ind w:firstLineChars="0" w:firstLine="0" w:startChars="300" w:endChars="300"/>
    </w:pPr>
    <w:rPr>
      <w:rFonts w:eastAsia="楷体"/>
      <w:sz w:val="32"/>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Style12">
    <w:name w:val="目录"/>
    <w:basedOn w:val="Normal"/>
    <w:qFormat/>
    <w:pPr>
      <w:spacing w:lineRule="exact" w:line="560"/>
      <w:ind w:firstLineChars="200" w:startChars="0" w:start="0" w:endChars="0" w:end="0"/>
    </w:pPr>
    <w:rPr>
      <w:rFonts w:eastAsia="楷体"/>
      <w:sz w:val="32"/>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2016-08-23T10:18:00Z</dcterms:created>
  <dc:creator>Sky123.Org</dc:creator>
  <dc:description/>
  <dc:language>en-US</dc:language>
  <cp:lastModifiedBy/>
  <dcterms:modified xsi:type="dcterms:W3CDTF">2020-05-08T09:24:45Z</dcterms:modified>
  <cp:revision>0</cp:revision>
  <dc:subject/>
  <dc:title>lenovo</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