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ewNewNewNewNewNewNewNewNewNewNewNewNewNewNewNewNewNewNewNewNewNewNewNewNewNewNewNewNewNewNewNewNewNewNewNewNewNewNewNewNewNewNewNewNewNewNewNewNewNewNewNewNewNewNewNewNewNewNewNewNewNewNe"/>
        <w:keepNext w:val="false"/>
        <w:keepLines w:val="false"/>
        <w:pageBreakBefore w:val="false"/>
        <w:widowControl w:val="false"/>
        <w:kinsoku w:val="true"/>
        <w:overflowPunct w:val="true"/>
        <w:autoSpaceDE w:val="true"/>
        <w:bidi w:val="0"/>
        <w:snapToGrid w:val="true"/>
        <w:spacing w:lineRule="exact" w:line="570"/>
        <w:jc w:val="center"/>
        <w:textAlignment w:val="auto"/>
        <w:rPr>
          <w:rFonts w:ascii="宋体" w:hAnsi="宋体" w:cs="宋体" w:hint="eastAsia"/>
          <w:b w:val="false"/>
          <w:bCs/>
          <w:color w:val="000000"/>
          <w:sz w:val="32"/>
          <w:szCs w:val="32"/>
        </w:rPr>
      </w:pPr>
      <w:r>
        <w:rPr>
          <w:rFonts w:cs="宋体" w:hint="eastAsia" w:ascii="宋体" w:hAnsi="宋体"/>
          <w:b w:val="false"/>
          <w:bCs/>
          <w:color w:val="000000"/>
          <w:sz w:val="32"/>
          <w:szCs w:val="32"/>
        </w:rPr>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widowControl w:val="false"/>
        <w:kinsoku w:val="true"/>
        <w:overflowPunct w:val="true"/>
        <w:autoSpaceDE w:val="true"/>
        <w:bidi w:val="0"/>
        <w:snapToGrid w:val="true"/>
        <w:spacing w:lineRule="exact" w:line="570"/>
        <w:jc w:val="center"/>
        <w:textAlignment w:val="auto"/>
        <w:rPr>
          <w:rFonts w:ascii="宋体" w:hAnsi="宋体" w:cs="宋体" w:hint="eastAsia"/>
          <w:b w:val="false"/>
          <w:bCs/>
          <w:color w:val="000000"/>
          <w:sz w:val="32"/>
          <w:szCs w:val="32"/>
        </w:rPr>
      </w:pPr>
      <w:r>
        <w:rPr>
          <w:rFonts w:cs="宋体" w:hint="eastAsia" w:ascii="宋体" w:hAnsi="宋体"/>
          <w:b w:val="false"/>
          <w:bCs/>
          <w:color w:val="000000"/>
          <w:sz w:val="32"/>
          <w:szCs w:val="32"/>
        </w:rPr>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widowControl w:val="false"/>
        <w:kinsoku w:val="true"/>
        <w:overflowPunct w:val="true"/>
        <w:autoSpaceDE w:val="true"/>
        <w:bidi w:val="0"/>
        <w:snapToGrid w:val="true"/>
        <w:spacing w:lineRule="exact" w:line="570"/>
        <w:jc w:val="center"/>
        <w:textAlignment w:val="auto"/>
        <w:rPr>
          <w:rFonts w:ascii="宋体" w:hAnsi="宋体" w:cs="宋体"/>
          <w:b w:val="false"/>
          <w:bCs/>
          <w:color w:val="000000"/>
          <w:sz w:val="44"/>
          <w:szCs w:val="44"/>
        </w:rPr>
      </w:pPr>
      <w:r>
        <w:rPr>
          <w:rFonts w:ascii="宋体" w:hAnsi="宋体" w:cs="宋体" w:hint="eastAsia"/>
          <w:b w:val="false"/>
          <w:bCs/>
          <w:color w:val="000000"/>
          <w:sz w:val="44"/>
          <w:szCs w:val="44"/>
        </w:rPr>
        <w:t>辽宁省行政审批中介服务管理条例</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widowControl w:val="false"/>
        <w:kinsoku w:val="true"/>
        <w:overflowPunct w:val="true"/>
        <w:autoSpaceDE w:val="true"/>
        <w:bidi w:val="0"/>
        <w:snapToGrid w:val="true"/>
        <w:spacing w:lineRule="exact" w:line="570"/>
        <w:jc w:val="center"/>
        <w:textAlignment w:val="auto"/>
        <w:rPr>
          <w:rFonts w:ascii="宋体" w:hAnsi="宋体" w:eastAsia="宋体" w:cs="宋体" w:hint="eastAsia"/>
          <w:b w:val="false"/>
          <w:bCs/>
          <w:color w:val="000000"/>
          <w:sz w:val="32"/>
          <w:szCs w:val="32"/>
        </w:rPr>
      </w:pPr>
      <w:r>
        <w:rPr>
          <w:rFonts w:eastAsia="宋体" w:cs="宋体" w:hint="eastAsia" w:ascii="宋体" w:hAnsi="宋体"/>
          <w:b w:val="false"/>
          <w:bCs/>
          <w:color w:val="000000"/>
          <w:sz w:val="32"/>
          <w:szCs w:val="32"/>
        </w:rPr>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widowControl w:val="false"/>
        <w:kinsoku w:val="true"/>
        <w:overflowPunct w:val="true"/>
        <w:autoSpaceDE w:val="true"/>
        <w:bidi w:val="0"/>
        <w:snapToGrid w:val="true"/>
        <w:spacing w:lineRule="exact" w:line="570"/>
        <w:ind w:firstLineChars="0" w:firstLine="0" w:startChars="0" w:start="0" w:endChars="0" w:end="0"/>
        <w:textAlignment w:val="auto"/>
        <w:rPr>
          <w:rFonts w:ascii="楷体" w:hAnsi="楷体" w:eastAsia="楷体" w:cs="楷体"/>
          <w:color w:val="000000"/>
          <w:sz w:val="32"/>
          <w:szCs w:val="32"/>
        </w:rPr>
      </w:pPr>
      <w:r>
        <w:rPr>
          <w:rFonts w:ascii="楷体" w:hAnsi="楷体" w:cs="楷体" w:hint="eastAsia" w:eastAsia="楷体"/>
          <w:color w:val="000000"/>
          <w:sz w:val="32"/>
          <w:szCs w:val="32"/>
        </w:rPr>
        <w:t>（</w:t>
      </w:r>
      <w:r>
        <w:rPr>
          <w:rFonts w:eastAsia="楷体" w:cs="楷体" w:hint="eastAsia" w:ascii="楷体" w:hAnsi="楷体"/>
          <w:color w:val="000000"/>
          <w:sz w:val="32"/>
          <w:szCs w:val="32"/>
        </w:rPr>
        <w:t>2018</w:t>
      </w:r>
      <w:r>
        <w:rPr>
          <w:rFonts w:ascii="楷体" w:hAnsi="楷体" w:cs="楷体" w:hint="eastAsia" w:eastAsia="楷体"/>
          <w:color w:val="000000"/>
          <w:sz w:val="32"/>
          <w:szCs w:val="32"/>
        </w:rPr>
        <w:t>年</w:t>
      </w:r>
      <w:r>
        <w:rPr>
          <w:rFonts w:eastAsia="楷体" w:cs="楷体" w:hint="eastAsia" w:ascii="楷体" w:hAnsi="楷体"/>
          <w:color w:val="000000"/>
          <w:sz w:val="32"/>
          <w:szCs w:val="32"/>
        </w:rPr>
        <w:t>10</w:t>
      </w:r>
      <w:r>
        <w:rPr>
          <w:rFonts w:ascii="楷体" w:hAnsi="楷体" w:cs="楷体" w:hint="eastAsia" w:eastAsia="楷体"/>
          <w:color w:val="000000"/>
          <w:sz w:val="32"/>
          <w:szCs w:val="32"/>
        </w:rPr>
        <w:t>月</w:t>
      </w:r>
      <w:r>
        <w:rPr>
          <w:rFonts w:eastAsia="楷体" w:cs="楷体" w:hint="eastAsia" w:ascii="楷体" w:hAnsi="楷体"/>
          <w:color w:val="000000"/>
          <w:sz w:val="32"/>
          <w:szCs w:val="32"/>
        </w:rPr>
        <w:t>11</w:t>
      </w:r>
      <w:r>
        <w:rPr>
          <w:rFonts w:ascii="楷体" w:hAnsi="楷体" w:cs="楷体" w:hint="eastAsia" w:eastAsia="楷体"/>
          <w:color w:val="000000"/>
          <w:sz w:val="32"/>
          <w:szCs w:val="32"/>
        </w:rPr>
        <w:t xml:space="preserve">日辽宁省第十三届人民代表大会常务委员会第五次会议通过  </w:t>
      </w:r>
      <w:r>
        <w:rPr>
          <w:rFonts w:ascii="楷体_GB2312" w:hAnsi="楷体_GB2312" w:cs="华文楷体" w:hint="eastAsia" w:eastAsia="楷体_GB2312"/>
          <w:color w:val="000000"/>
          <w:sz w:val="32"/>
          <w:szCs w:val="32"/>
        </w:rPr>
        <w:t>根据</w:t>
      </w:r>
      <w:r>
        <w:rPr>
          <w:rFonts w:eastAsia="楷体_GB2312" w:cs="华文楷体" w:hint="eastAsia" w:ascii="楷体_GB2312" w:hAnsi="楷体_GB2312"/>
          <w:color w:val="000000"/>
          <w:sz w:val="32"/>
          <w:szCs w:val="32"/>
        </w:rPr>
        <w:t>2020</w:t>
      </w:r>
      <w:r>
        <w:rPr>
          <w:rFonts w:ascii="楷体_GB2312" w:hAnsi="楷体_GB2312" w:cs="华文楷体" w:hint="eastAsia" w:eastAsia="楷体_GB2312"/>
          <w:color w:val="000000"/>
          <w:sz w:val="32"/>
          <w:szCs w:val="32"/>
        </w:rPr>
        <w:t>年</w:t>
      </w:r>
      <w:r>
        <w:rPr>
          <w:rFonts w:eastAsia="楷体_GB2312" w:cs="华文楷体" w:hint="eastAsia" w:ascii="楷体_GB2312" w:hAnsi="楷体_GB2312"/>
          <w:color w:val="000000"/>
          <w:sz w:val="32"/>
          <w:szCs w:val="32"/>
        </w:rPr>
        <w:t>3</w:t>
      </w:r>
      <w:r>
        <w:rPr>
          <w:rFonts w:ascii="楷体_GB2312" w:hAnsi="楷体_GB2312" w:cs="华文楷体" w:hint="eastAsia" w:eastAsia="楷体_GB2312"/>
          <w:color w:val="000000"/>
          <w:sz w:val="32"/>
          <w:szCs w:val="32"/>
        </w:rPr>
        <w:t>月</w:t>
      </w:r>
      <w:r>
        <w:rPr>
          <w:rFonts w:eastAsia="楷体_GB2312" w:cs="华文楷体" w:hint="eastAsia" w:ascii="楷体_GB2312" w:hAnsi="楷体_GB2312"/>
          <w:color w:val="000000"/>
          <w:sz w:val="32"/>
          <w:szCs w:val="32"/>
        </w:rPr>
        <w:t>30</w:t>
      </w:r>
      <w:r>
        <w:rPr>
          <w:rFonts w:ascii="楷体_GB2312" w:hAnsi="楷体_GB2312" w:cs="华文楷体" w:hint="eastAsia" w:eastAsia="楷体_GB2312"/>
          <w:color w:val="000000"/>
          <w:sz w:val="32"/>
          <w:szCs w:val="32"/>
        </w:rPr>
        <w:t>日辽宁省第十三届人民代表大会常务委员会第十七次会议</w:t>
      </w:r>
      <w:r>
        <w:rPr>
          <w:rFonts w:ascii="楷体" w:hAnsi="楷体" w:cs="楷体" w:hint="eastAsia" w:eastAsia="楷体"/>
          <w:color w:val="000000"/>
          <w:sz w:val="32"/>
          <w:szCs w:val="32"/>
        </w:rPr>
        <w:t>《关于修改</w:t>
      </w:r>
      <w:r>
        <w:rPr>
          <w:rFonts w:ascii="微软雅黑" w:hAnsi="微软雅黑" w:cs="微软雅黑" w:hint="eastAsia" w:eastAsia="微软雅黑"/>
          <w:color w:val="000000"/>
          <w:sz w:val="32"/>
          <w:szCs w:val="32"/>
        </w:rPr>
        <w:t>〈</w:t>
      </w:r>
      <w:r>
        <w:rPr>
          <w:rFonts w:ascii="楷体" w:hAnsi="楷体" w:cs="楷体" w:hint="eastAsia" w:eastAsia="楷体"/>
          <w:color w:val="000000"/>
          <w:sz w:val="32"/>
          <w:szCs w:val="32"/>
        </w:rPr>
        <w:t>辽宁省出版管理规定</w:t>
      </w:r>
      <w:r>
        <w:rPr>
          <w:rFonts w:ascii="微软雅黑" w:hAnsi="微软雅黑" w:cs="微软雅黑" w:hint="eastAsia" w:eastAsia="微软雅黑"/>
          <w:color w:val="000000"/>
          <w:sz w:val="32"/>
          <w:szCs w:val="32"/>
        </w:rPr>
        <w:t>〉</w:t>
      </w:r>
      <w:r>
        <w:rPr>
          <w:rFonts w:ascii="楷体" w:hAnsi="楷体" w:cs="楷体" w:hint="eastAsia" w:eastAsia="楷体"/>
          <w:color w:val="000000"/>
          <w:sz w:val="32"/>
          <w:szCs w:val="32"/>
        </w:rPr>
        <w:t>等</w:t>
      </w:r>
      <w:r>
        <w:rPr>
          <w:rFonts w:eastAsia="楷体" w:cs="楷体" w:hint="eastAsia" w:ascii="楷体" w:hAnsi="楷体"/>
          <w:color w:val="000000"/>
          <w:sz w:val="32"/>
          <w:szCs w:val="32"/>
        </w:rPr>
        <w:t>27</w:t>
      </w:r>
      <w:r>
        <w:rPr>
          <w:rFonts w:ascii="楷体" w:hAnsi="楷体" w:cs="楷体" w:hint="eastAsia" w:eastAsia="楷体"/>
          <w:color w:val="000000"/>
          <w:sz w:val="32"/>
          <w:szCs w:val="32"/>
        </w:rPr>
        <w:t>件地方性法规的决定》修正）</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widowControl w:val="false"/>
        <w:kinsoku w:val="true"/>
        <w:overflowPunct w:val="true"/>
        <w:autoSpaceDE w:val="true"/>
        <w:bidi w:val="0"/>
        <w:snapToGrid w:val="true"/>
        <w:spacing w:lineRule="exact" w:line="570"/>
        <w:jc w:val="center"/>
        <w:textAlignment w:val="auto"/>
        <w:rPr>
          <w:rFonts w:ascii="宋体" w:hAnsi="宋体" w:eastAsia="宋体" w:cs="宋体" w:hint="eastAsia"/>
          <w:b/>
          <w:color w:val="000000"/>
          <w:sz w:val="32"/>
          <w:szCs w:val="32"/>
        </w:rPr>
      </w:pPr>
      <w:r>
        <w:rPr>
          <w:rFonts w:eastAsia="宋体" w:cs="宋体" w:hint="eastAsia" w:ascii="宋体" w:hAnsi="宋体"/>
          <w:b/>
          <w:color w:val="000000"/>
          <w:sz w:val="32"/>
          <w:szCs w:val="32"/>
        </w:rPr>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widowControl w:val="false"/>
        <w:kinsoku w:val="true"/>
        <w:overflowPunct w:val="true"/>
        <w:autoSpaceDE w:val="true"/>
        <w:bidi w:val="0"/>
        <w:snapToGrid w:val="true"/>
        <w:spacing w:lineRule="exact" w:line="570"/>
        <w:jc w:val="center"/>
        <w:textAlignment w:val="auto"/>
        <w:rPr>
          <w:rFonts w:ascii="楷体_GB2312" w:hAnsi="楷体_GB2312" w:eastAsia="楷体_GB2312" w:cs="宋体" w:hint="eastAsia"/>
          <w:b/>
          <w:color w:val="000000"/>
          <w:sz w:val="32"/>
          <w:szCs w:val="32"/>
        </w:rPr>
      </w:pPr>
      <w:r>
        <w:rPr>
          <w:rFonts w:ascii="楷体" w:hAnsi="楷体" w:cs="楷体" w:hint="eastAsia" w:eastAsia="楷体"/>
          <w:bCs/>
          <w:color w:val="000000"/>
          <w:sz w:val="32"/>
          <w:szCs w:val="32"/>
        </w:rPr>
        <w:t>目    录</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widowControl w:val="false"/>
        <w:kinsoku w:val="true"/>
        <w:overflowPunct w:val="true"/>
        <w:autoSpaceDE w:val="true"/>
        <w:bidi w:val="0"/>
        <w:snapToGrid w:val="true"/>
        <w:spacing w:lineRule="exact" w:line="570"/>
        <w:textAlignment w:val="auto"/>
        <w:rPr>
          <w:rFonts w:ascii="宋体" w:hAnsi="宋体" w:eastAsia="宋体" w:cs="宋体" w:hint="eastAsia"/>
          <w:b/>
          <w:color w:val="000000"/>
          <w:sz w:val="32"/>
          <w:szCs w:val="32"/>
        </w:rPr>
      </w:pPr>
      <w:r>
        <w:rPr>
          <w:rFonts w:eastAsia="宋体" w:cs="宋体" w:hint="eastAsia" w:ascii="宋体" w:hAnsi="宋体"/>
          <w:b/>
          <w:color w:val="000000"/>
          <w:sz w:val="32"/>
          <w:szCs w:val="32"/>
        </w:rPr>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楷体" w:hAnsi="楷体" w:eastAsia="楷体" w:cs="楷体" w:hint="eastAsia"/>
          <w:b/>
          <w:color w:val="000000"/>
          <w:sz w:val="32"/>
          <w:szCs w:val="32"/>
        </w:rPr>
      </w:pPr>
      <w:r>
        <w:rPr>
          <w:rFonts w:ascii="楷体" w:hAnsi="楷体" w:cs="楷体" w:hint="eastAsia" w:eastAsia="楷体"/>
          <w:bCs/>
          <w:color w:val="000000"/>
          <w:sz w:val="32"/>
          <w:szCs w:val="32"/>
        </w:rPr>
        <w:t>第一章  总则</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楷体" w:hAnsi="楷体" w:eastAsia="楷体" w:cs="楷体" w:hint="eastAsia"/>
          <w:color w:val="000000"/>
          <w:sz w:val="32"/>
        </w:rPr>
      </w:pPr>
      <w:r>
        <w:rPr>
          <w:rFonts w:ascii="楷体" w:hAnsi="楷体" w:cs="楷体" w:hint="eastAsia" w:eastAsia="楷体"/>
          <w:bCs/>
          <w:color w:val="000000"/>
          <w:sz w:val="32"/>
          <w:szCs w:val="32"/>
        </w:rPr>
        <w:t>第二章  监督管理</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楷体" w:hAnsi="楷体" w:eastAsia="楷体" w:cs="楷体" w:hint="eastAsia"/>
          <w:color w:val="000000"/>
          <w:sz w:val="32"/>
        </w:rPr>
      </w:pPr>
      <w:r>
        <w:rPr>
          <w:rFonts w:ascii="楷体" w:hAnsi="楷体" w:cs="楷体" w:hint="eastAsia" w:eastAsia="楷体"/>
          <w:bCs/>
          <w:color w:val="000000"/>
          <w:sz w:val="32"/>
          <w:szCs w:val="32"/>
        </w:rPr>
        <w:t>第三章  行业引导和中介服务机构自律</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楷体" w:hAnsi="楷体" w:eastAsia="楷体" w:cs="楷体" w:hint="eastAsia"/>
          <w:color w:val="000000"/>
          <w:sz w:val="32"/>
        </w:rPr>
      </w:pPr>
      <w:r>
        <w:rPr>
          <w:rFonts w:ascii="楷体" w:hAnsi="楷体" w:cs="楷体" w:hint="eastAsia" w:eastAsia="楷体"/>
          <w:bCs/>
          <w:color w:val="000000"/>
          <w:sz w:val="32"/>
          <w:szCs w:val="32"/>
        </w:rPr>
        <w:t>第四章  政府委托中介服务</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楷体" w:hAnsi="楷体" w:eastAsia="楷体" w:cs="楷体" w:hint="eastAsia"/>
          <w:color w:val="000000"/>
          <w:sz w:val="32"/>
        </w:rPr>
      </w:pPr>
      <w:r>
        <w:rPr>
          <w:rFonts w:ascii="楷体" w:hAnsi="楷体" w:cs="楷体" w:hint="eastAsia" w:eastAsia="楷体"/>
          <w:bCs/>
          <w:color w:val="000000"/>
          <w:sz w:val="32"/>
          <w:szCs w:val="32"/>
        </w:rPr>
        <w:t>第五章  网上中介服务交易平台</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楷体" w:hAnsi="楷体" w:eastAsia="楷体" w:cs="楷体" w:hint="eastAsia"/>
          <w:color w:val="000000"/>
          <w:sz w:val="32"/>
        </w:rPr>
      </w:pPr>
      <w:r>
        <w:rPr>
          <w:rFonts w:ascii="楷体" w:hAnsi="楷体" w:cs="楷体" w:hint="eastAsia" w:eastAsia="楷体"/>
          <w:bCs/>
          <w:color w:val="000000"/>
          <w:sz w:val="32"/>
          <w:szCs w:val="32"/>
        </w:rPr>
        <w:t>第六章  法律责任</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color w:val="000000"/>
        </w:rPr>
      </w:pPr>
      <w:r>
        <w:rPr>
          <w:rFonts w:ascii="楷体" w:hAnsi="楷体" w:cs="楷体" w:hint="eastAsia" w:eastAsia="楷体"/>
          <w:bCs/>
          <w:color w:val="000000"/>
          <w:sz w:val="32"/>
          <w:szCs w:val="32"/>
        </w:rPr>
        <w:t>第七章  附则</w:t>
      </w:r>
    </w:p>
    <w:p>
      <w:pPr>
        <w:pStyle w:val="ListParagraph"/>
        <w:keepNext w:val="false"/>
        <w:keepLines w:val="false"/>
        <w:pageBreakBefore w:val="false"/>
        <w:widowControl w:val="false"/>
        <w:kinsoku w:val="true"/>
        <w:overflowPunct w:val="true"/>
        <w:autoSpaceDE w:val="true"/>
        <w:bidi w:val="0"/>
        <w:snapToGrid w:val="true"/>
        <w:spacing w:lineRule="exact" w:line="570"/>
        <w:ind w:firstLineChars="0" w:firstLine="0" w:endChars="0" w:end="0"/>
        <w:textAlignment w:val="auto"/>
        <w:rPr>
          <w:rFonts w:ascii="宋体" w:hAnsi="宋体" w:eastAsia="宋体" w:cs="宋体" w:hint="eastAsia"/>
          <w:bCs/>
          <w:color w:val="000000"/>
          <w:sz w:val="32"/>
          <w:szCs w:val="32"/>
        </w:rPr>
      </w:pPr>
      <w:r>
        <w:rPr>
          <w:rFonts w:eastAsia="宋体" w:cs="宋体" w:hint="eastAsia" w:ascii="宋体" w:hAnsi="宋体"/>
          <w:bCs/>
          <w:color w:val="000000"/>
          <w:sz w:val="32"/>
          <w:szCs w:val="32"/>
        </w:rPr>
      </w:r>
    </w:p>
    <w:p>
      <w:pPr>
        <w:pStyle w:val="ListParagraph"/>
        <w:keepNext w:val="false"/>
        <w:keepLines w:val="false"/>
        <w:pageBreakBefore w:val="false"/>
        <w:widowControl w:val="false"/>
        <w:kinsoku w:val="true"/>
        <w:overflowPunct w:val="true"/>
        <w:autoSpaceDE w:val="true"/>
        <w:bidi w:val="0"/>
        <w:snapToGrid w:val="true"/>
        <w:spacing w:lineRule="exact" w:line="570"/>
        <w:ind w:firstLineChars="0" w:firstLine="0" w:endChars="0" w:end="0"/>
        <w:jc w:val="center"/>
        <w:textAlignment w:val="auto"/>
        <w:rPr>
          <w:rFonts w:ascii="宋体" w:hAnsi="宋体" w:cs="宋体"/>
          <w:b/>
          <w:color w:val="000000"/>
          <w:sz w:val="32"/>
          <w:szCs w:val="32"/>
        </w:rPr>
      </w:pPr>
      <w:r>
        <w:rPr>
          <w:rFonts w:ascii="黑体" w:hAnsi="黑体" w:cs="黑体" w:hint="eastAsia" w:eastAsia="黑体"/>
          <w:bCs/>
          <w:color w:val="000000"/>
          <w:sz w:val="32"/>
          <w:szCs w:val="32"/>
        </w:rPr>
        <w:t>第一章  总则</w:t>
      </w:r>
    </w:p>
    <w:p>
      <w:pPr>
        <w:pStyle w:val="ListParagraph"/>
        <w:keepNext w:val="false"/>
        <w:keepLines w:val="false"/>
        <w:pageBreakBefore w:val="false"/>
        <w:widowControl w:val="false"/>
        <w:kinsoku w:val="true"/>
        <w:overflowPunct w:val="true"/>
        <w:autoSpaceDE w:val="true"/>
        <w:bidi w:val="0"/>
        <w:snapToGrid w:val="true"/>
        <w:spacing w:lineRule="exact" w:line="570"/>
        <w:ind w:firstLineChars="0" w:firstLine="0" w:endChars="0" w:end="0"/>
        <w:textAlignment w:val="auto"/>
        <w:rPr>
          <w:rFonts w:ascii="仿宋" w:hAnsi="仿宋" w:eastAsia="仿宋" w:cs="仿宋"/>
          <w:b/>
          <w:color w:val="000000"/>
          <w:sz w:val="32"/>
          <w:szCs w:val="32"/>
        </w:rPr>
      </w:pPr>
      <w:r>
        <w:rPr>
          <w:rFonts w:eastAsia="仿宋" w:cs="仿宋" w:ascii="仿宋" w:hAnsi="仿宋"/>
          <w:b/>
          <w:color w:val="000000"/>
          <w:sz w:val="32"/>
          <w:szCs w:val="32"/>
        </w:rPr>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start"/>
        <w:textAlignment w:val="auto"/>
        <w:rPr>
          <w:rFonts w:ascii="仿宋" w:hAnsi="仿宋" w:eastAsia="仿宋" w:cs="仿宋"/>
          <w:color w:val="000000"/>
          <w:sz w:val="32"/>
          <w:szCs w:val="32"/>
        </w:rPr>
      </w:pPr>
      <w:r>
        <w:rPr>
          <w:rFonts w:ascii="黑体" w:hAnsi="黑体" w:cs="黑体" w:hint="eastAsia" w:eastAsia="黑体"/>
          <w:color w:val="000000"/>
          <w:sz w:val="32"/>
          <w:szCs w:val="32"/>
        </w:rPr>
        <w:t>第一条</w:t>
      </w:r>
      <w:r>
        <w:rPr>
          <w:rFonts w:ascii="仿宋" w:hAnsi="仿宋" w:cs="仿宋" w:hint="eastAsia" w:eastAsia="仿宋"/>
          <w:color w:val="000000"/>
          <w:sz w:val="32"/>
          <w:szCs w:val="32"/>
        </w:rPr>
        <w:t xml:space="preserve">  为了规范行政审批中介服务行为，进一步优化营商环境，保障各类市场主体的合法权益，根据有关法律、法规规定，结合本省实际，制定本条例。</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Fonts w:ascii="黑体" w:hAnsi="黑体" w:cs="黑体" w:eastAsia="黑体"/>
          <w:color w:val="000000"/>
          <w:sz w:val="32"/>
          <w:szCs w:val="32"/>
        </w:rPr>
        <w:t>第</w:t>
      </w:r>
      <w:r>
        <w:rPr>
          <w:rFonts w:ascii="黑体" w:hAnsi="黑体" w:cs="黑体" w:hint="eastAsia" w:eastAsia="黑体"/>
          <w:color w:val="000000"/>
          <w:sz w:val="32"/>
          <w:szCs w:val="32"/>
        </w:rPr>
        <w:t>二</w:t>
      </w:r>
      <w:r>
        <w:rPr>
          <w:rFonts w:ascii="黑体" w:hAnsi="黑体" w:cs="黑体" w:eastAsia="黑体"/>
          <w:color w:val="000000"/>
          <w:sz w:val="32"/>
          <w:szCs w:val="32"/>
        </w:rPr>
        <w:t>条</w:t>
      </w:r>
      <w:r>
        <w:rPr>
          <w:rFonts w:ascii="仿宋" w:hAnsi="仿宋" w:cs="仿宋" w:hint="eastAsia" w:eastAsia="仿宋"/>
          <w:color w:val="000000"/>
          <w:sz w:val="32"/>
          <w:szCs w:val="32"/>
        </w:rPr>
        <w:t xml:space="preserve">  本条例所称行政审批中介服务（以下简称中介服务）是指企业、事业单位、社会组织等机构（以下简称中介服务机构）接受委托人委托开展的作为行政审批条件的有偿服务。</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中介服务包括各类技术审查、论证、评估、评价、检验、检测、鉴证、鉴定、证明、咨询、试验等。</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Fonts w:ascii="黑体" w:hAnsi="黑体" w:cs="黑体" w:hint="eastAsia" w:eastAsia="黑体"/>
          <w:color w:val="000000"/>
          <w:sz w:val="32"/>
          <w:szCs w:val="32"/>
        </w:rPr>
        <w:t>第三条</w:t>
      </w:r>
      <w:r>
        <w:rPr>
          <w:rFonts w:ascii="仿宋" w:hAnsi="仿宋" w:cs="仿宋" w:hint="eastAsia" w:eastAsia="仿宋"/>
          <w:color w:val="000000"/>
          <w:sz w:val="32"/>
          <w:szCs w:val="32"/>
        </w:rPr>
        <w:t xml:space="preserve">  在本省行政区域内，从事中介服务以及对中介服务实施监督管理，适用本条例。</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Segoe UI"/>
          <w:color w:val="000000"/>
          <w:kern w:val="0"/>
          <w:sz w:val="32"/>
          <w:szCs w:val="32"/>
        </w:rPr>
      </w:pPr>
      <w:r>
        <w:rPr>
          <w:rFonts w:ascii="黑体" w:hAnsi="黑体" w:cs="黑体" w:hint="eastAsia" w:eastAsia="黑体"/>
          <w:color w:val="000000"/>
          <w:sz w:val="32"/>
          <w:szCs w:val="32"/>
        </w:rPr>
        <w:t>第四条</w:t>
      </w:r>
      <w:r>
        <w:rPr>
          <w:rFonts w:ascii="仿宋" w:hAnsi="仿宋" w:cs="仿宋" w:hint="eastAsia" w:eastAsia="仿宋"/>
          <w:color w:val="000000"/>
          <w:sz w:val="32"/>
          <w:szCs w:val="32"/>
        </w:rPr>
        <w:t xml:space="preserve">  省、市、县（含县级市、区，下同）人民政府应当加强对中介服务的管理，建立健全中介服务管理部门协调配合机制，负责向社会公布中介服务事项清单，</w:t>
      </w:r>
      <w:r>
        <w:rPr>
          <w:rFonts w:ascii="仿宋" w:hAnsi="仿宋" w:cs="宋体" w:hint="eastAsia" w:eastAsia="仿宋"/>
          <w:bCs/>
          <w:color w:val="000000"/>
          <w:spacing w:val="8"/>
          <w:kern w:val="0"/>
          <w:sz w:val="32"/>
          <w:szCs w:val="32"/>
        </w:rPr>
        <w:t>取消</w:t>
      </w:r>
      <w:r>
        <w:rPr>
          <w:rFonts w:ascii="仿宋" w:hAnsi="仿宋" w:cs="Segoe UI" w:hint="eastAsia" w:eastAsia="仿宋"/>
          <w:color w:val="000000"/>
          <w:kern w:val="0"/>
          <w:sz w:val="32"/>
          <w:szCs w:val="32"/>
        </w:rPr>
        <w:t>本地区</w:t>
      </w:r>
      <w:r>
        <w:rPr>
          <w:rFonts w:ascii="仿宋" w:hAnsi="仿宋" w:cs="宋体" w:hint="eastAsia" w:eastAsia="仿宋"/>
          <w:bCs/>
          <w:color w:val="000000"/>
          <w:spacing w:val="8"/>
          <w:kern w:val="0"/>
          <w:sz w:val="32"/>
          <w:szCs w:val="32"/>
        </w:rPr>
        <w:t>自行设定的中介服务机构准入限制，</w:t>
      </w:r>
      <w:r>
        <w:rPr>
          <w:rFonts w:ascii="仿宋" w:hAnsi="仿宋" w:cs="Segoe UI" w:hint="eastAsia" w:eastAsia="仿宋"/>
          <w:color w:val="000000"/>
          <w:kern w:val="0"/>
          <w:sz w:val="32"/>
          <w:szCs w:val="32"/>
        </w:rPr>
        <w:t>为加快形成全省统一开放、竞争有序、便捷高效的中介服务市场提供相关服务和技术支持。</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widowControl w:val="false"/>
        <w:kinsoku w:val="true"/>
        <w:overflowPunct w:val="true"/>
        <w:autoSpaceDE w:val="true"/>
        <w:bidi w:val="0"/>
        <w:snapToGrid w:val="true"/>
        <w:spacing w:lineRule="exact" w:line="570"/>
        <w:ind w:firstLineChars="196" w:startChars="0" w:start="0" w:endChars="0" w:end="0"/>
        <w:textAlignment w:val="auto"/>
        <w:rPr>
          <w:rFonts w:ascii="仿宋" w:hAnsi="仿宋" w:eastAsia="仿宋" w:cs="仿宋"/>
          <w:color w:val="000000"/>
          <w:sz w:val="32"/>
          <w:szCs w:val="32"/>
        </w:rPr>
      </w:pPr>
      <w:r>
        <w:rPr>
          <w:rFonts w:ascii="黑体" w:hAnsi="黑体" w:cs="黑体" w:hint="eastAsia" w:eastAsia="黑体"/>
          <w:color w:val="000000"/>
          <w:sz w:val="32"/>
          <w:szCs w:val="32"/>
        </w:rPr>
        <w:t xml:space="preserve">第五条  </w:t>
      </w:r>
      <w:r>
        <w:rPr>
          <w:rFonts w:ascii="仿宋" w:hAnsi="仿宋" w:cs="仿宋" w:hint="eastAsia" w:eastAsia="仿宋"/>
          <w:color w:val="000000"/>
          <w:sz w:val="32"/>
          <w:szCs w:val="32"/>
        </w:rPr>
        <w:t>省、市、县人民政府及其行政审批部门、行业主管部门应当按照各自职责，加强中介服务的监督检查，及时纠正中介服务违法行为。</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省、市、县人民政府应当将其所属行政审批部门、行业主管部门对本条例的执行情况纳入政府权力运行监督内容。</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Fonts w:ascii="黑体" w:hAnsi="黑体" w:cs="黑体" w:hint="eastAsia" w:eastAsia="黑体"/>
          <w:color w:val="000000"/>
          <w:sz w:val="32"/>
          <w:szCs w:val="32"/>
        </w:rPr>
        <w:t xml:space="preserve">第六条  </w:t>
      </w:r>
      <w:r>
        <w:rPr>
          <w:rFonts w:ascii="仿宋" w:hAnsi="仿宋" w:cs="仿宋" w:hint="eastAsia" w:eastAsia="仿宋"/>
          <w:color w:val="000000"/>
          <w:sz w:val="32"/>
          <w:szCs w:val="32"/>
        </w:rPr>
        <w:t>中介服务机构及其从业人员应当依法提供中介服务，遵循诚信、公平原则，恪守从业规则和职业道德，维护国家利益、公共利益以及中介服务对象的合法权益。</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Fonts w:eastAsia="仿宋" w:cs="仿宋" w:ascii="仿宋" w:hAnsi="仿宋"/>
          <w:color w:val="000000"/>
          <w:sz w:val="32"/>
          <w:szCs w:val="32"/>
        </w:rPr>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widowControl w:val="false"/>
        <w:kinsoku w:val="true"/>
        <w:overflowPunct w:val="true"/>
        <w:autoSpaceDE w:val="true"/>
        <w:bidi w:val="0"/>
        <w:snapToGrid w:val="true"/>
        <w:spacing w:lineRule="exact" w:line="570"/>
        <w:ind w:firstLineChars="0" w:firstLine="0" w:startChars="0" w:start="0" w:endChars="0" w:end="0"/>
        <w:jc w:val="center"/>
        <w:textAlignment w:val="auto"/>
        <w:rPr>
          <w:rFonts w:ascii="宋体" w:hAnsi="宋体" w:cs="宋体"/>
          <w:b/>
          <w:color w:val="000000"/>
          <w:sz w:val="32"/>
          <w:szCs w:val="32"/>
        </w:rPr>
      </w:pPr>
      <w:r>
        <w:rPr>
          <w:rFonts w:ascii="黑体" w:hAnsi="黑体" w:cs="黑体" w:hint="eastAsia" w:eastAsia="黑体"/>
          <w:bCs/>
          <w:color w:val="000000"/>
          <w:sz w:val="32"/>
          <w:szCs w:val="32"/>
        </w:rPr>
        <w:t>第二章  监督管理</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b/>
          <w:color w:val="000000"/>
          <w:sz w:val="32"/>
          <w:szCs w:val="32"/>
        </w:rPr>
      </w:pPr>
      <w:r>
        <w:rPr>
          <w:rFonts w:eastAsia="仿宋" w:cs="仿宋" w:ascii="仿宋" w:hAnsi="仿宋"/>
          <w:b/>
          <w:color w:val="000000"/>
          <w:sz w:val="32"/>
          <w:szCs w:val="32"/>
        </w:rPr>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Fonts w:ascii="黑体" w:hAnsi="黑体" w:cs="黑体" w:hint="eastAsia" w:eastAsia="黑体"/>
          <w:color w:val="000000"/>
          <w:sz w:val="32"/>
          <w:szCs w:val="32"/>
        </w:rPr>
        <w:t>第七条</w:t>
      </w:r>
      <w:r>
        <w:rPr>
          <w:rFonts w:ascii="仿宋" w:hAnsi="仿宋" w:cs="仿宋" w:hint="eastAsia" w:eastAsia="仿宋"/>
          <w:color w:val="000000"/>
          <w:sz w:val="32"/>
          <w:szCs w:val="32"/>
        </w:rPr>
        <w:t xml:space="preserve">  除法律、法规、国务院决定、规章规定的中介服务事项外，行政审批部门不得以任何形式要求申请人委托中介服务机构开展服务</w:t>
      </w:r>
      <w:r>
        <w:rPr>
          <w:rFonts w:ascii="黑体" w:hAnsi="黑体" w:cs="黑体" w:hint="eastAsia" w:eastAsia="黑体"/>
          <w:color w:val="000000"/>
          <w:sz w:val="32"/>
          <w:szCs w:val="32"/>
        </w:rPr>
        <w:t>，</w:t>
      </w:r>
      <w:r>
        <w:rPr>
          <w:rFonts w:ascii="仿宋" w:hAnsi="仿宋" w:cs="仿宋" w:hint="eastAsia" w:eastAsia="仿宋"/>
          <w:color w:val="000000"/>
          <w:sz w:val="32"/>
          <w:szCs w:val="32"/>
        </w:rPr>
        <w:t>提供相关中介服务材料。</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除法律、法规、国务院决定明确规定的资质资格许可外，行政审批部门不得设定中介服务机构资质资格审批；不得设定区域性、行业性、部门间中介服务机构执业限制；不得通过限额管理控制中介服务机构数量、服务范围。</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Fonts w:ascii="黑体" w:hAnsi="黑体" w:cs="黑体" w:hint="eastAsia" w:eastAsia="黑体"/>
          <w:color w:val="000000"/>
          <w:sz w:val="32"/>
          <w:szCs w:val="32"/>
        </w:rPr>
        <w:t xml:space="preserve">第八条  </w:t>
      </w:r>
      <w:r>
        <w:rPr>
          <w:rFonts w:ascii="仿宋" w:hAnsi="仿宋" w:cs="仿宋" w:hint="eastAsia" w:eastAsia="仿宋"/>
          <w:color w:val="000000"/>
          <w:sz w:val="32"/>
          <w:szCs w:val="32"/>
        </w:rPr>
        <w:t>中介服务事项实行清单管理。省人民政府应当组织编制全省统一的中介服务事项清单，依法向社会公布。</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eastAsia="仿宋"/>
          <w:color w:val="000000"/>
          <w:sz w:val="32"/>
          <w:szCs w:val="32"/>
        </w:rPr>
        <w:t>未纳入中介服务事项清单</w:t>
      </w:r>
      <w:r>
        <w:rPr>
          <w:rFonts w:ascii="仿宋" w:hAnsi="仿宋" w:cs="仿宋" w:hint="eastAsia" w:eastAsia="仿宋"/>
          <w:color w:val="000000"/>
          <w:sz w:val="32"/>
          <w:szCs w:val="32"/>
        </w:rPr>
        <w:t>的中介服务事项</w:t>
      </w:r>
      <w:r>
        <w:rPr>
          <w:rFonts w:ascii="仿宋" w:hAnsi="仿宋" w:cs="仿宋" w:eastAsia="仿宋"/>
          <w:color w:val="000000"/>
          <w:sz w:val="32"/>
          <w:szCs w:val="32"/>
        </w:rPr>
        <w:t>，不得作为</w:t>
      </w:r>
      <w:r>
        <w:rPr>
          <w:rFonts w:ascii="仿宋" w:hAnsi="仿宋" w:cs="仿宋" w:hint="eastAsia" w:eastAsia="仿宋"/>
          <w:color w:val="000000"/>
          <w:sz w:val="32"/>
          <w:szCs w:val="32"/>
        </w:rPr>
        <w:t>行政审批条件。</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Fonts w:ascii="黑体" w:hAnsi="黑体" w:cs="黑体" w:eastAsia="黑体"/>
          <w:color w:val="000000"/>
          <w:sz w:val="32"/>
          <w:szCs w:val="32"/>
        </w:rPr>
        <w:t>第</w:t>
      </w:r>
      <w:r>
        <w:rPr>
          <w:rFonts w:ascii="黑体" w:hAnsi="黑体" w:cs="黑体" w:hint="eastAsia" w:eastAsia="黑体"/>
          <w:color w:val="000000"/>
          <w:sz w:val="32"/>
          <w:szCs w:val="32"/>
        </w:rPr>
        <w:t>九</w:t>
      </w:r>
      <w:r>
        <w:rPr>
          <w:rFonts w:ascii="黑体" w:hAnsi="黑体" w:cs="黑体" w:eastAsia="黑体"/>
          <w:color w:val="000000"/>
          <w:sz w:val="32"/>
          <w:szCs w:val="32"/>
        </w:rPr>
        <w:t>条</w:t>
      </w:r>
      <w:r>
        <w:rPr>
          <w:rFonts w:ascii="仿宋" w:hAnsi="仿宋" w:cs="仿宋" w:hint="eastAsia" w:eastAsia="仿宋"/>
          <w:color w:val="000000"/>
          <w:sz w:val="32"/>
          <w:szCs w:val="32"/>
        </w:rPr>
        <w:t xml:space="preserve">  中介服务事项清单实行动态管理。省、市、县人民政府应当按照权限定期对中介服务事项组织评估，作出予以保留、取消的决定，并同步调整中介服务事项清单，依法向社会公布。</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Fonts w:ascii="黑体" w:hAnsi="黑体" w:cs="黑体" w:hint="eastAsia" w:eastAsia="黑体"/>
          <w:color w:val="000000"/>
          <w:sz w:val="32"/>
          <w:szCs w:val="32"/>
        </w:rPr>
        <w:t xml:space="preserve">第十条  </w:t>
      </w:r>
      <w:r>
        <w:rPr>
          <w:rFonts w:ascii="仿宋" w:hAnsi="仿宋" w:cs="仿宋" w:hint="eastAsia" w:eastAsia="仿宋"/>
          <w:color w:val="000000"/>
          <w:sz w:val="32"/>
          <w:szCs w:val="32"/>
        </w:rPr>
        <w:t>行业主管部门应当按照谁审批、谁监管，谁主管、谁监管的原则，对中介服务机构实施监督。</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实行资质资格许可准入管理的中介服务机构，相关资质资格许可实施管理部门为行业主管部门；取消资质资格许可准入管理的中介服务机构，原相关资质资格许可实施管理部门为行业主管部门；其他的中介服务机构，对应的行政审批事项实施管理部门为行业主管部门。</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widowControl w:val="false"/>
        <w:kinsoku w:val="true"/>
        <w:overflowPunct w:val="true"/>
        <w:autoSpaceDE w:val="true"/>
        <w:bidi w:val="0"/>
        <w:snapToGrid w:val="true"/>
        <w:spacing w:lineRule="exact" w:line="570"/>
        <w:ind w:firstLine="645" w:end="0"/>
        <w:textAlignment w:val="auto"/>
        <w:rPr>
          <w:rFonts w:ascii="仿宋" w:hAnsi="仿宋" w:eastAsia="仿宋" w:cs="仿宋"/>
          <w:color w:val="000000"/>
          <w:sz w:val="32"/>
          <w:szCs w:val="32"/>
        </w:rPr>
      </w:pPr>
      <w:r>
        <w:rPr>
          <w:rFonts w:ascii="黑体" w:hAnsi="黑体" w:cs="黑体" w:hint="eastAsia" w:eastAsia="黑体"/>
          <w:color w:val="000000"/>
          <w:sz w:val="32"/>
          <w:szCs w:val="32"/>
        </w:rPr>
        <w:t>第十一条</w:t>
      </w:r>
      <w:r>
        <w:rPr>
          <w:rFonts w:ascii="仿宋" w:hAnsi="仿宋" w:cs="仿宋" w:hint="eastAsia" w:eastAsia="仿宋"/>
          <w:color w:val="000000"/>
          <w:sz w:val="32"/>
          <w:szCs w:val="32"/>
        </w:rPr>
        <w:t xml:space="preserve">  省行业主管部门应当制定和完善中介服务规范和标准，明确办理时限、工作流程、申报条件、收费标准等，指导督促中介服务机构建立服务承诺、限时办理、执业公示、执业记录等制度。</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widowControl w:val="false"/>
        <w:kinsoku w:val="true"/>
        <w:overflowPunct w:val="true"/>
        <w:autoSpaceDE w:val="true"/>
        <w:bidi w:val="0"/>
        <w:snapToGrid w:val="true"/>
        <w:spacing w:lineRule="exact" w:line="570"/>
        <w:ind w:firstLine="645" w:end="0"/>
        <w:textAlignment w:val="auto"/>
        <w:rPr>
          <w:rFonts w:ascii="仿宋" w:hAnsi="仿宋" w:eastAsia="仿宋" w:cs="仿宋"/>
          <w:color w:val="000000"/>
          <w:sz w:val="32"/>
          <w:szCs w:val="32"/>
        </w:rPr>
      </w:pPr>
      <w:r>
        <w:rPr>
          <w:rFonts w:ascii="黑体" w:hAnsi="黑体" w:cs="黑体" w:hint="eastAsia" w:eastAsia="黑体"/>
          <w:color w:val="000000"/>
          <w:sz w:val="32"/>
          <w:szCs w:val="32"/>
        </w:rPr>
        <w:t>第十二条</w:t>
      </w:r>
      <w:r>
        <w:rPr>
          <w:rFonts w:ascii="仿宋" w:hAnsi="仿宋" w:cs="仿宋" w:hint="eastAsia" w:eastAsia="仿宋"/>
          <w:color w:val="000000"/>
          <w:sz w:val="32"/>
          <w:szCs w:val="32"/>
        </w:rPr>
        <w:t xml:space="preserve">  省行业主管部门应当会同行政审批部门制定中介服务随机抽查实施办法，按照“双随机、一公开”的要求，定期组织对中介服务机构执行中介服务规范和标准等情况进行随机抽查。</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对未按照中介服务规范和标准提供中介服务的中介服务机构，视情节列入失信中介服务机构管理名单，依法处理相关中介服务机构法定代表人和从业人员，并通过全省中介服务信息管理平台向社会公示。</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Fonts w:ascii="黑体" w:hAnsi="黑体" w:cs="黑体" w:hint="eastAsia" w:eastAsia="黑体"/>
          <w:color w:val="000000"/>
          <w:sz w:val="32"/>
          <w:szCs w:val="32"/>
        </w:rPr>
        <w:t>第十三条</w:t>
      </w:r>
      <w:r>
        <w:rPr>
          <w:rFonts w:ascii="仿宋" w:hAnsi="仿宋" w:cs="仿宋" w:hint="eastAsia" w:eastAsia="仿宋"/>
          <w:color w:val="000000"/>
          <w:sz w:val="32"/>
          <w:szCs w:val="32"/>
        </w:rPr>
        <w:t xml:space="preserve">  省行业主管部门应当制定反垄断和反不正当竞争的措施，扶持和培育中介服务机构健康发展，鼓励省外中介服务机构参与本省中介服务。</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Fonts w:ascii="黑体" w:hAnsi="黑体" w:cs="黑体" w:hint="eastAsia" w:eastAsia="黑体"/>
          <w:color w:val="000000"/>
          <w:sz w:val="32"/>
          <w:szCs w:val="32"/>
        </w:rPr>
        <w:t xml:space="preserve">第十四条  </w:t>
      </w:r>
      <w:r>
        <w:rPr>
          <w:rFonts w:ascii="仿宋" w:hAnsi="仿宋" w:cs="仿宋" w:hint="eastAsia" w:eastAsia="仿宋"/>
          <w:color w:val="000000"/>
          <w:sz w:val="32"/>
          <w:szCs w:val="32"/>
        </w:rPr>
        <w:t>禁止</w:t>
      </w:r>
      <w:r>
        <w:rPr>
          <w:rFonts w:ascii="仿宋" w:hAnsi="仿宋" w:cs="仿宋" w:eastAsia="仿宋"/>
          <w:color w:val="000000"/>
          <w:sz w:val="32"/>
          <w:szCs w:val="32"/>
        </w:rPr>
        <w:t>行政审批部门</w:t>
      </w:r>
      <w:r>
        <w:rPr>
          <w:rFonts w:ascii="仿宋" w:hAnsi="仿宋" w:cs="仿宋" w:hint="eastAsia" w:eastAsia="仿宋"/>
          <w:color w:val="000000"/>
          <w:sz w:val="32"/>
          <w:szCs w:val="32"/>
        </w:rPr>
        <w:t>实施</w:t>
      </w:r>
      <w:r>
        <w:rPr>
          <w:rFonts w:ascii="仿宋" w:hAnsi="仿宋" w:cs="仿宋" w:eastAsia="仿宋"/>
          <w:color w:val="000000"/>
          <w:sz w:val="32"/>
          <w:szCs w:val="32"/>
        </w:rPr>
        <w:t>下列行为：</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widowControl w:val="false"/>
        <w:kinsoku w:val="true"/>
        <w:overflowPunct w:val="true"/>
        <w:autoSpaceDE w:val="true"/>
        <w:bidi w:val="0"/>
        <w:snapToGrid w:val="true"/>
        <w:spacing w:lineRule="exact" w:line="570"/>
        <w:ind w:firstLine="560" w:end="0"/>
        <w:textAlignment w:val="auto"/>
        <w:rPr>
          <w:rFonts w:ascii="仿宋" w:hAnsi="仿宋" w:eastAsia="仿宋" w:cs="仿宋"/>
          <w:color w:val="000000"/>
          <w:sz w:val="32"/>
          <w:szCs w:val="32"/>
        </w:rPr>
      </w:pPr>
      <w:r>
        <w:rPr>
          <w:rFonts w:ascii="仿宋" w:hAnsi="仿宋" w:cs="仿宋" w:eastAsia="仿宋"/>
          <w:color w:val="000000"/>
          <w:sz w:val="32"/>
          <w:szCs w:val="32"/>
        </w:rPr>
        <w:t>（一）</w:t>
      </w:r>
      <w:r>
        <w:rPr>
          <w:rFonts w:ascii="仿宋" w:hAnsi="仿宋" w:cs="仿宋" w:hint="eastAsia" w:eastAsia="仿宋"/>
          <w:color w:val="000000"/>
          <w:sz w:val="32"/>
          <w:szCs w:val="32"/>
        </w:rPr>
        <w:t>将现有或者已经取消的行政审批事项，转为委托中介服务形式开展；</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widowControl w:val="false"/>
        <w:kinsoku w:val="true"/>
        <w:overflowPunct w:val="true"/>
        <w:autoSpaceDE w:val="true"/>
        <w:bidi w:val="0"/>
        <w:snapToGrid w:val="true"/>
        <w:spacing w:lineRule="exact" w:line="570"/>
        <w:ind w:firstLine="560" w:end="0"/>
        <w:textAlignment w:val="auto"/>
        <w:rPr>
          <w:rFonts w:ascii="仿宋" w:hAnsi="仿宋" w:eastAsia="仿宋" w:cs="仿宋"/>
          <w:color w:val="000000"/>
          <w:sz w:val="32"/>
          <w:szCs w:val="32"/>
        </w:rPr>
      </w:pPr>
      <w:r>
        <w:rPr>
          <w:rFonts w:ascii="仿宋" w:hAnsi="仿宋" w:cs="仿宋" w:eastAsia="仿宋"/>
          <w:color w:val="000000"/>
          <w:sz w:val="32"/>
          <w:szCs w:val="32"/>
        </w:rPr>
        <w:t>（二）将申请人</w:t>
      </w:r>
      <w:r>
        <w:rPr>
          <w:rFonts w:ascii="仿宋" w:hAnsi="仿宋" w:cs="仿宋" w:hint="eastAsia" w:eastAsia="仿宋"/>
          <w:color w:val="000000"/>
          <w:sz w:val="32"/>
          <w:szCs w:val="32"/>
        </w:rPr>
        <w:t>可以</w:t>
      </w:r>
      <w:r>
        <w:rPr>
          <w:rFonts w:ascii="仿宋" w:hAnsi="仿宋" w:cs="仿宋" w:eastAsia="仿宋"/>
          <w:color w:val="000000"/>
          <w:sz w:val="32"/>
          <w:szCs w:val="32"/>
        </w:rPr>
        <w:t>自行完成的事项强制限定为中介服务机构提供；</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widowControl w:val="false"/>
        <w:kinsoku w:val="true"/>
        <w:overflowPunct w:val="true"/>
        <w:autoSpaceDE w:val="true"/>
        <w:bidi w:val="0"/>
        <w:snapToGrid w:val="true"/>
        <w:spacing w:lineRule="exact" w:line="570"/>
        <w:ind w:firstLine="560" w:end="0"/>
        <w:textAlignment w:val="auto"/>
        <w:rPr>
          <w:rFonts w:ascii="仿宋" w:hAnsi="仿宋" w:eastAsia="仿宋" w:cs="仿宋"/>
          <w:color w:val="000000"/>
          <w:sz w:val="32"/>
          <w:szCs w:val="32"/>
        </w:rPr>
      </w:pPr>
      <w:r>
        <w:rPr>
          <w:rFonts w:ascii="仿宋" w:hAnsi="仿宋" w:cs="仿宋" w:eastAsia="仿宋"/>
          <w:color w:val="000000"/>
          <w:sz w:val="32"/>
          <w:szCs w:val="32"/>
        </w:rPr>
        <w:t>（三）将一项中介服务事项拆分为多个环节；</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widowControl w:val="false"/>
        <w:kinsoku w:val="true"/>
        <w:overflowPunct w:val="true"/>
        <w:autoSpaceDE w:val="true"/>
        <w:bidi w:val="0"/>
        <w:snapToGrid w:val="true"/>
        <w:spacing w:lineRule="exact" w:line="570"/>
        <w:ind w:firstLine="560" w:end="0"/>
        <w:textAlignment w:val="auto"/>
        <w:rPr>
          <w:rFonts w:ascii="黑体" w:hAnsi="黑体" w:eastAsia="黑体" w:cs="仿宋"/>
          <w:color w:val="000000"/>
          <w:sz w:val="32"/>
          <w:szCs w:val="32"/>
        </w:rPr>
      </w:pPr>
      <w:r>
        <w:rPr>
          <w:rFonts w:ascii="仿宋" w:hAnsi="仿宋" w:cs="仿宋" w:eastAsia="仿宋"/>
          <w:color w:val="000000"/>
          <w:sz w:val="32"/>
          <w:szCs w:val="32"/>
        </w:rPr>
        <w:t>（四）法律、行政法规和国务院决定规定的其他禁止性行为。</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Fonts w:ascii="黑体" w:hAnsi="黑体" w:cs="黑体" w:hint="eastAsia" w:eastAsia="黑体"/>
          <w:color w:val="000000"/>
          <w:sz w:val="32"/>
          <w:szCs w:val="32"/>
        </w:rPr>
        <w:t xml:space="preserve">第十五条  </w:t>
      </w:r>
      <w:r>
        <w:rPr>
          <w:rFonts w:ascii="仿宋" w:hAnsi="仿宋" w:cs="仿宋" w:hint="eastAsia" w:eastAsia="仿宋"/>
          <w:color w:val="000000"/>
          <w:sz w:val="32"/>
          <w:szCs w:val="32"/>
        </w:rPr>
        <w:t>省、市、县人民政府应当加强对其所属行政审批部门、行业主管部门的监督，依法受理和查处中介服务机构或者申请人的投诉和举报，并将查处结果书面告知当事人。</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Fonts w:ascii="黑体" w:hAnsi="黑体" w:cs="黑体" w:hint="eastAsia" w:eastAsia="黑体"/>
          <w:color w:val="000000"/>
          <w:sz w:val="32"/>
          <w:szCs w:val="32"/>
        </w:rPr>
        <w:t>第十六条</w:t>
      </w:r>
      <w:r>
        <w:rPr>
          <w:rFonts w:ascii="仿宋" w:hAnsi="仿宋" w:cs="仿宋" w:hint="eastAsia" w:eastAsia="仿宋"/>
          <w:color w:val="000000"/>
          <w:sz w:val="32"/>
          <w:szCs w:val="32"/>
        </w:rPr>
        <w:t xml:space="preserve">  省市场监督管理部门应当制定中介服务收费监督管理办法，实施对中介服务收费监督检查工作。</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除政府定价管理的中介服务外，实行市场调节价格。</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kern w:val="0"/>
          <w:sz w:val="32"/>
          <w:szCs w:val="32"/>
        </w:rPr>
        <w:t>省、市、县市场监督管理</w:t>
      </w:r>
      <w:r>
        <w:rPr>
          <w:rFonts w:ascii="仿宋" w:hAnsi="仿宋" w:cs="仿宋" w:hint="eastAsia" w:eastAsia="仿宋"/>
          <w:color w:val="000000"/>
          <w:kern w:val="0"/>
          <w:sz w:val="32"/>
          <w:szCs w:val="32"/>
        </w:rPr>
        <w:t>和发展改革部门应当按照各自职责权限实施市场监督管理</w:t>
      </w:r>
      <w:r>
        <w:rPr>
          <w:rFonts w:ascii="仿宋" w:hAnsi="仿宋" w:cs="仿宋" w:hint="eastAsia" w:eastAsia="仿宋"/>
          <w:color w:val="000000"/>
          <w:kern w:val="0"/>
          <w:sz w:val="32"/>
          <w:szCs w:val="32"/>
        </w:rPr>
        <w:t>和价格监测</w:t>
      </w:r>
      <w:r>
        <w:rPr>
          <w:rFonts w:ascii="黑体" w:hAnsi="黑体" w:cs="黑体" w:hint="eastAsia" w:eastAsia="黑体"/>
          <w:color w:val="000000"/>
          <w:kern w:val="0"/>
          <w:sz w:val="32"/>
          <w:szCs w:val="32"/>
        </w:rPr>
        <w:t>。</w:t>
      </w:r>
      <w:r>
        <w:rPr>
          <w:rFonts w:ascii="仿宋" w:hAnsi="仿宋" w:cs="仿宋" w:hint="eastAsia" w:eastAsia="仿宋"/>
          <w:color w:val="000000"/>
          <w:kern w:val="0"/>
          <w:sz w:val="32"/>
          <w:szCs w:val="32"/>
        </w:rPr>
        <w:t>对</w:t>
      </w:r>
      <w:r>
        <w:rPr>
          <w:rFonts w:ascii="仿宋" w:hAnsi="仿宋" w:cs="仿宋" w:hint="eastAsia" w:eastAsia="仿宋"/>
          <w:color w:val="000000"/>
          <w:sz w:val="32"/>
          <w:szCs w:val="32"/>
        </w:rPr>
        <w:t>实行市场调节价的中介服务收费标准出现</w:t>
      </w:r>
      <w:r>
        <w:rPr>
          <w:rFonts w:ascii="仿宋" w:hAnsi="仿宋" w:cs="仿宋" w:hint="eastAsia" w:eastAsia="仿宋"/>
          <w:color w:val="000000"/>
          <w:kern w:val="0"/>
          <w:sz w:val="32"/>
          <w:szCs w:val="32"/>
        </w:rPr>
        <w:t>明显</w:t>
      </w:r>
      <w:r>
        <w:rPr>
          <w:rFonts w:ascii="仿宋" w:hAnsi="仿宋" w:cs="仿宋" w:hint="eastAsia" w:eastAsia="仿宋"/>
          <w:color w:val="000000"/>
          <w:sz w:val="32"/>
          <w:szCs w:val="32"/>
        </w:rPr>
        <w:t>上涨或者下降时，</w:t>
      </w:r>
      <w:r>
        <w:rPr>
          <w:rFonts w:ascii="仿宋" w:hAnsi="仿宋" w:cs="仿宋" w:hint="eastAsia" w:eastAsia="仿宋"/>
          <w:color w:val="000000"/>
          <w:kern w:val="0"/>
          <w:sz w:val="32"/>
          <w:szCs w:val="32"/>
        </w:rPr>
        <w:t>可以</w:t>
      </w:r>
      <w:r>
        <w:rPr>
          <w:rFonts w:ascii="仿宋" w:hAnsi="仿宋" w:cs="仿宋" w:hint="eastAsia" w:eastAsia="仿宋"/>
          <w:color w:val="000000"/>
          <w:sz w:val="32"/>
          <w:szCs w:val="32"/>
        </w:rPr>
        <w:t>开展成本调查和价格监测，</w:t>
      </w:r>
      <w:r>
        <w:rPr>
          <w:rFonts w:ascii="仿宋" w:hAnsi="仿宋" w:cs="仿宋" w:hint="eastAsia" w:eastAsia="仿宋"/>
          <w:color w:val="000000"/>
          <w:kern w:val="0"/>
          <w:sz w:val="32"/>
          <w:szCs w:val="32"/>
        </w:rPr>
        <w:t>查处违法行为</w:t>
      </w:r>
      <w:r>
        <w:rPr>
          <w:rFonts w:ascii="黑体" w:hAnsi="黑体" w:cs="黑体" w:hint="eastAsia" w:eastAsia="黑体"/>
          <w:color w:val="000000"/>
          <w:sz w:val="32"/>
          <w:szCs w:val="32"/>
        </w:rPr>
        <w:t>。</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Fonts w:ascii="黑体" w:hAnsi="黑体" w:cs="黑体" w:hint="eastAsia" w:eastAsia="黑体"/>
          <w:color w:val="000000"/>
          <w:sz w:val="32"/>
          <w:szCs w:val="32"/>
        </w:rPr>
        <w:t>第十七条</w:t>
      </w:r>
      <w:r>
        <w:rPr>
          <w:rFonts w:ascii="仿宋" w:hAnsi="仿宋" w:cs="仿宋" w:hint="eastAsia" w:eastAsia="仿宋"/>
          <w:color w:val="000000"/>
          <w:sz w:val="32"/>
          <w:szCs w:val="32"/>
        </w:rPr>
        <w:t xml:space="preserve">  省市场监督管理部门应当建立全省统一的中介服务信息管理平台，建立全省中介服务机构名录库，公布中介服务事项清单、中介服务规范标准和中介服务机构信用信息，做好平台的管理和维护工作。公示内容应当动态管理，保证及时、准确、完整。</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前款规定的中介服务机构信用信息包括中介服务机构登记、许可、备案、行政处罚、年度报告、抽查结果、经营异常、违法失信等内容。</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省、市、县人民政府及其所属行政审批部门、行业主管部门和其他职能部门应当按照职责分工，配合市场监督管理部门做好本条第一款规定的中介服务信息管理平台相关内容的制定、归集、管理和维护工作。</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Fonts w:ascii="黑体" w:hAnsi="黑体" w:cs="黑体" w:hint="eastAsia" w:eastAsia="黑体"/>
          <w:color w:val="000000"/>
          <w:sz w:val="32"/>
          <w:szCs w:val="32"/>
        </w:rPr>
        <w:t>第十八条</w:t>
      </w:r>
      <w:r>
        <w:rPr>
          <w:rFonts w:ascii="仿宋" w:hAnsi="仿宋" w:cs="仿宋" w:hint="eastAsia" w:eastAsia="仿宋"/>
          <w:color w:val="000000"/>
          <w:sz w:val="32"/>
          <w:szCs w:val="32"/>
        </w:rPr>
        <w:t xml:space="preserve">  市场监督管理部门应当定期将中介服务市场发展、规范管理等相关情况报送同级人民政府。</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黑体" w:hAnsi="黑体" w:eastAsia="黑体" w:cs="黑体"/>
          <w:color w:val="000000"/>
          <w:sz w:val="32"/>
          <w:szCs w:val="32"/>
        </w:rPr>
      </w:pPr>
      <w:r>
        <w:rPr>
          <w:rFonts w:ascii="仿宋" w:hAnsi="仿宋" w:cs="仿宋" w:hint="eastAsia" w:eastAsia="仿宋"/>
          <w:color w:val="000000"/>
          <w:sz w:val="32"/>
          <w:szCs w:val="32"/>
        </w:rPr>
        <w:t>行政审批部门、行业主管部门和有关职能部门应当配合市场监督管理部门工作，报送相关情况。</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Fonts w:ascii="黑体" w:hAnsi="黑体" w:cs="黑体" w:hint="eastAsia" w:eastAsia="黑体"/>
          <w:color w:val="000000"/>
          <w:sz w:val="32"/>
          <w:szCs w:val="32"/>
        </w:rPr>
        <w:t xml:space="preserve">第十九条  </w:t>
      </w:r>
      <w:r>
        <w:rPr>
          <w:rFonts w:ascii="仿宋" w:hAnsi="仿宋" w:cs="仿宋" w:hint="eastAsia" w:eastAsia="仿宋"/>
          <w:color w:val="000000"/>
          <w:sz w:val="32"/>
          <w:szCs w:val="32"/>
        </w:rPr>
        <w:t>省、市、县人民政府应当全面推动在建设工程领域实行联合勘验、联合测绘、联合验收。实行企业投资项目“多评合一”、并联审批。</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Fonts w:ascii="黑体" w:hAnsi="黑体" w:cs="黑体" w:hint="eastAsia" w:eastAsia="黑体"/>
          <w:color w:val="000000"/>
          <w:sz w:val="32"/>
          <w:szCs w:val="32"/>
        </w:rPr>
        <w:t xml:space="preserve">第二十条  </w:t>
      </w:r>
      <w:r>
        <w:rPr>
          <w:rFonts w:ascii="仿宋" w:hAnsi="仿宋" w:cs="仿宋" w:hint="eastAsia" w:eastAsia="仿宋"/>
          <w:color w:val="000000"/>
          <w:sz w:val="32"/>
          <w:szCs w:val="32"/>
        </w:rPr>
        <w:t>省、市、县人民政府应当在自贸区、开发区等各类产业聚集区推行由政府统一组织，对一定区域内土地勘测、矿产压覆、地质灾害、水土保持、能源评价、文物保护、洪水影响、地震安全性、气候可行性等事项实行区域评估。</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center"/>
        <w:textAlignment w:val="auto"/>
        <w:rPr>
          <w:rFonts w:ascii="仿宋" w:hAnsi="仿宋" w:eastAsia="仿宋" w:cs="仿宋"/>
          <w:color w:val="000000"/>
          <w:sz w:val="32"/>
          <w:szCs w:val="32"/>
        </w:rPr>
      </w:pPr>
      <w:r>
        <w:rPr>
          <w:rFonts w:eastAsia="仿宋" w:cs="仿宋" w:ascii="仿宋" w:hAnsi="仿宋"/>
          <w:color w:val="000000"/>
          <w:sz w:val="32"/>
          <w:szCs w:val="32"/>
        </w:rPr>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widowControl w:val="false"/>
        <w:kinsoku w:val="true"/>
        <w:overflowPunct w:val="true"/>
        <w:autoSpaceDE w:val="true"/>
        <w:bidi w:val="0"/>
        <w:snapToGrid w:val="true"/>
        <w:spacing w:lineRule="exact" w:line="570"/>
        <w:ind w:firstLineChars="0" w:firstLine="0" w:startChars="0" w:start="0" w:endChars="0" w:end="0"/>
        <w:jc w:val="center"/>
        <w:textAlignment w:val="auto"/>
        <w:rPr>
          <w:rFonts w:ascii="黑体" w:hAnsi="黑体" w:eastAsia="黑体" w:cs="黑体" w:hint="eastAsia"/>
          <w:bCs/>
          <w:color w:val="000000"/>
          <w:sz w:val="32"/>
          <w:szCs w:val="32"/>
        </w:rPr>
      </w:pPr>
      <w:r>
        <w:rPr>
          <w:rFonts w:ascii="黑体" w:hAnsi="黑体" w:cs="黑体" w:hint="eastAsia" w:eastAsia="黑体"/>
          <w:bCs/>
          <w:color w:val="000000"/>
          <w:sz w:val="32"/>
          <w:szCs w:val="32"/>
        </w:rPr>
        <w:t>第三章  行业引导和中介服务机构自律</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center"/>
        <w:textAlignment w:val="auto"/>
        <w:rPr>
          <w:rFonts w:ascii="仿宋" w:hAnsi="仿宋" w:eastAsia="仿宋" w:cs="仿宋" w:hint="eastAsia"/>
          <w:bCs/>
          <w:color w:val="000000"/>
          <w:sz w:val="32"/>
          <w:szCs w:val="32"/>
        </w:rPr>
      </w:pPr>
      <w:r>
        <w:rPr>
          <w:rFonts w:eastAsia="仿宋" w:cs="仿宋" w:hint="eastAsia" w:ascii="仿宋" w:hAnsi="仿宋"/>
          <w:bCs/>
          <w:color w:val="000000"/>
          <w:sz w:val="32"/>
          <w:szCs w:val="32"/>
        </w:rPr>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Fonts w:ascii="黑体" w:hAnsi="黑体" w:cs="黑体" w:hint="eastAsia" w:eastAsia="黑体"/>
          <w:color w:val="000000"/>
          <w:sz w:val="32"/>
          <w:szCs w:val="32"/>
        </w:rPr>
        <w:t xml:space="preserve">第二十一条  </w:t>
      </w:r>
      <w:r>
        <w:rPr>
          <w:rFonts w:ascii="仿宋" w:hAnsi="仿宋" w:cs="仿宋" w:hint="eastAsia" w:eastAsia="仿宋"/>
          <w:color w:val="000000"/>
          <w:sz w:val="32"/>
          <w:szCs w:val="32"/>
        </w:rPr>
        <w:t>行业协会应当按照法律、法规规定和行业主管部门的相关规定细化本行业中介服务规范和标准，指导本行业中介服务机构提高服务质量，规范监督从业人员执业行为。</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Fonts w:ascii="黑体" w:hAnsi="黑体" w:cs="黑体" w:hint="eastAsia" w:eastAsia="黑体"/>
          <w:color w:val="000000"/>
          <w:sz w:val="32"/>
          <w:szCs w:val="32"/>
        </w:rPr>
        <w:t>第二十二条</w:t>
      </w:r>
      <w:r>
        <w:rPr>
          <w:rFonts w:ascii="仿宋" w:hAnsi="仿宋" w:cs="仿宋" w:hint="eastAsia" w:eastAsia="仿宋"/>
          <w:color w:val="000000"/>
          <w:sz w:val="32"/>
          <w:szCs w:val="32"/>
        </w:rPr>
        <w:t xml:space="preserve">  中介服务机构应当依法具备相应资质、技术水平和执业人员。不得与自身服务范围相关的行政审批部门存在隶属关系或者聘用其在职人员、退休人员，法律、法规和国家另有相关规定的除外。</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Fonts w:ascii="黑体" w:hAnsi="黑体" w:cs="黑体" w:hint="eastAsia" w:eastAsia="黑体"/>
          <w:color w:val="000000"/>
          <w:sz w:val="32"/>
          <w:szCs w:val="32"/>
        </w:rPr>
        <w:t>第二十三条</w:t>
      </w:r>
      <w:r>
        <w:rPr>
          <w:rFonts w:ascii="仿宋" w:hAnsi="仿宋" w:cs="仿宋" w:hint="eastAsia" w:eastAsia="仿宋"/>
          <w:color w:val="000000"/>
          <w:sz w:val="32"/>
          <w:szCs w:val="32"/>
        </w:rPr>
        <w:t xml:space="preserve">  中介服务机构应当在经营场所或者门户网站显著位置公示中介服务流程、办理时限、收费依据、收费标准、提供材料等，不得以任何理由违反公示内容提供中介服务。</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黑体" w:hAnsi="黑体" w:eastAsia="黑体" w:cs="黑体"/>
          <w:color w:val="000000"/>
          <w:sz w:val="32"/>
          <w:szCs w:val="32"/>
        </w:rPr>
      </w:pPr>
      <w:r>
        <w:rPr>
          <w:rFonts w:ascii="黑体" w:hAnsi="黑体" w:cs="黑体" w:hint="eastAsia" w:eastAsia="黑体"/>
          <w:color w:val="000000"/>
          <w:sz w:val="32"/>
          <w:szCs w:val="32"/>
        </w:rPr>
        <w:t>第二十四条</w:t>
      </w:r>
      <w:r>
        <w:rPr>
          <w:rFonts w:ascii="仿宋" w:hAnsi="仿宋" w:cs="仿宋" w:hint="eastAsia" w:eastAsia="仿宋"/>
          <w:color w:val="000000"/>
          <w:sz w:val="32"/>
          <w:szCs w:val="32"/>
        </w:rPr>
        <w:t xml:space="preserve">  中介服务机构提供中介服务应当依据行业收费标准收取费用，不得通过分解收费项目、重复收取费用、扩大收费范围、减少服务内容和降低服务质量等变相提高收费标准。</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Fonts w:ascii="黑体" w:hAnsi="黑体" w:cs="黑体" w:hint="eastAsia" w:eastAsia="黑体"/>
          <w:color w:val="000000"/>
          <w:sz w:val="32"/>
          <w:szCs w:val="32"/>
        </w:rPr>
        <w:t>第二十五条</w:t>
      </w:r>
      <w:r>
        <w:rPr>
          <w:rFonts w:ascii="仿宋" w:hAnsi="仿宋" w:cs="仿宋" w:hint="eastAsia" w:eastAsia="仿宋"/>
          <w:color w:val="000000"/>
          <w:sz w:val="32"/>
          <w:szCs w:val="32"/>
        </w:rPr>
        <w:t xml:space="preserve">  具有竞争关系的中介服务机构应当依法开展正当中介服务竞争，不得达成有关服务价格、服务范围、服务地域等垄断协议。</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行业协会不得组织或者变相组织本行业中介机构实施前款行为。</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黑体" w:hAnsi="黑体" w:eastAsia="黑体" w:cs="黑体"/>
          <w:color w:val="000000"/>
          <w:sz w:val="32"/>
          <w:szCs w:val="32"/>
        </w:rPr>
      </w:pPr>
      <w:r>
        <w:rPr>
          <w:rFonts w:ascii="黑体" w:hAnsi="黑体" w:cs="黑体" w:hint="eastAsia" w:eastAsia="黑体"/>
          <w:color w:val="000000"/>
          <w:sz w:val="32"/>
          <w:szCs w:val="32"/>
        </w:rPr>
        <w:t xml:space="preserve">第二十六条  </w:t>
      </w:r>
      <w:r>
        <w:rPr>
          <w:rFonts w:ascii="仿宋" w:hAnsi="仿宋" w:cs="仿宋" w:hint="eastAsia" w:eastAsia="仿宋"/>
          <w:color w:val="000000"/>
          <w:sz w:val="32"/>
          <w:szCs w:val="32"/>
        </w:rPr>
        <w:t>中介服务机构执业人员不得以同一执业资格在多个同类行业中介服务机构任职，法律、法规另有规定的除外。</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Fonts w:ascii="黑体" w:hAnsi="黑体" w:cs="黑体" w:hint="eastAsia" w:eastAsia="黑体"/>
          <w:color w:val="000000"/>
          <w:sz w:val="32"/>
          <w:szCs w:val="32"/>
        </w:rPr>
        <w:t>第二十七条</w:t>
      </w:r>
      <w:r>
        <w:rPr>
          <w:rFonts w:ascii="仿宋" w:hAnsi="仿宋" w:cs="仿宋" w:hint="eastAsia" w:eastAsia="仿宋"/>
          <w:color w:val="000000"/>
          <w:sz w:val="32"/>
          <w:szCs w:val="32"/>
        </w:rPr>
        <w:t xml:space="preserve">  中介服务机构提供中介服务应当建立执业记录，如实记载执业情况并按照法律、法规、规章规定的期限妥善保存执业记录、原始凭证、账簿、合同等资料；法律、法规、规章未规定的，保存期不得少于二年。</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widowControl w:val="false"/>
        <w:kinsoku w:val="true"/>
        <w:overflowPunct w:val="true"/>
        <w:autoSpaceDE w:val="true"/>
        <w:bidi w:val="0"/>
        <w:snapToGrid w:val="true"/>
        <w:spacing w:lineRule="exact" w:line="570"/>
        <w:textAlignment w:val="auto"/>
        <w:rPr>
          <w:rFonts w:ascii="黑体" w:hAnsi="黑体" w:eastAsia="黑体" w:cs="黑体"/>
          <w:color w:val="000000"/>
          <w:sz w:val="32"/>
          <w:szCs w:val="32"/>
        </w:rPr>
      </w:pPr>
      <w:r>
        <w:rPr>
          <w:rFonts w:eastAsia="黑体" w:cs="黑体" w:ascii="黑体" w:hAnsi="黑体"/>
          <w:color w:val="000000"/>
          <w:sz w:val="32"/>
          <w:szCs w:val="32"/>
        </w:rPr>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widowControl w:val="false"/>
        <w:kinsoku w:val="true"/>
        <w:overflowPunct w:val="true"/>
        <w:autoSpaceDE w:val="true"/>
        <w:bidi w:val="0"/>
        <w:snapToGrid w:val="true"/>
        <w:spacing w:lineRule="exact" w:line="570"/>
        <w:ind w:firstLineChars="0" w:firstLine="0" w:startChars="0" w:start="0" w:endChars="0" w:end="0"/>
        <w:jc w:val="center"/>
        <w:textAlignment w:val="auto"/>
        <w:rPr>
          <w:rFonts w:ascii="黑体" w:hAnsi="黑体" w:eastAsia="黑体" w:cs="黑体" w:hint="eastAsia"/>
          <w:bCs/>
          <w:color w:val="000000"/>
          <w:sz w:val="32"/>
          <w:szCs w:val="32"/>
        </w:rPr>
      </w:pPr>
      <w:r>
        <w:rPr>
          <w:rFonts w:ascii="黑体" w:hAnsi="黑体" w:cs="黑体" w:hint="eastAsia" w:eastAsia="黑体"/>
          <w:bCs/>
          <w:color w:val="000000"/>
          <w:sz w:val="32"/>
          <w:szCs w:val="32"/>
        </w:rPr>
        <w:t>第四章  政府委托中介服务</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bCs/>
          <w:color w:val="000000"/>
          <w:sz w:val="32"/>
          <w:szCs w:val="32"/>
        </w:rPr>
      </w:pPr>
      <w:r>
        <w:rPr>
          <w:rFonts w:eastAsia="仿宋" w:cs="仿宋" w:hint="eastAsia" w:ascii="仿宋" w:hAnsi="仿宋"/>
          <w:bCs/>
          <w:color w:val="000000"/>
          <w:sz w:val="32"/>
          <w:szCs w:val="32"/>
        </w:rPr>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Fonts w:ascii="黑体" w:hAnsi="黑体" w:cs="黑体" w:hint="eastAsia" w:eastAsia="黑体"/>
          <w:color w:val="000000"/>
          <w:sz w:val="32"/>
          <w:szCs w:val="32"/>
        </w:rPr>
        <w:t xml:space="preserve">第二十八条  </w:t>
      </w:r>
      <w:r>
        <w:rPr>
          <w:rFonts w:ascii="仿宋" w:hAnsi="仿宋" w:cs="仿宋" w:hint="eastAsia" w:eastAsia="仿宋"/>
          <w:color w:val="000000"/>
          <w:sz w:val="32"/>
          <w:szCs w:val="32"/>
        </w:rPr>
        <w:t>行政审批部门应当依据法律、法规、规章委托中介服务机构为其审批提供技术性服务。费用应由行政审批部门支付，不得转嫁给申请人。</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Fonts w:ascii="黑体" w:hAnsi="黑体" w:cs="黑体" w:hint="eastAsia" w:eastAsia="黑体"/>
          <w:color w:val="000000"/>
          <w:sz w:val="32"/>
          <w:szCs w:val="32"/>
        </w:rPr>
        <w:t>第二十九条</w:t>
      </w:r>
      <w:r>
        <w:rPr>
          <w:rFonts w:ascii="仿宋" w:hAnsi="仿宋" w:cs="仿宋" w:hint="eastAsia" w:eastAsia="仿宋"/>
          <w:color w:val="000000"/>
          <w:sz w:val="32"/>
          <w:szCs w:val="32"/>
        </w:rPr>
        <w:t xml:space="preserve">  行政审批部门应当依法采用竞争方式选定中介服务机构，综合评估中介服务机构服务质量、价格、成本等因素。不得划定区域、指定中介服务机构或者附加不合理条件。</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Fonts w:ascii="黑体" w:hAnsi="黑体" w:cs="黑体" w:hint="eastAsia" w:eastAsia="黑体"/>
          <w:color w:val="000000"/>
          <w:sz w:val="32"/>
          <w:szCs w:val="32"/>
        </w:rPr>
        <w:t>第三十条</w:t>
      </w:r>
      <w:r>
        <w:rPr>
          <w:rFonts w:ascii="仿宋" w:hAnsi="仿宋" w:cs="仿宋" w:hint="eastAsia" w:eastAsia="仿宋"/>
          <w:color w:val="000000"/>
          <w:sz w:val="32"/>
          <w:szCs w:val="32"/>
        </w:rPr>
        <w:t xml:space="preserve">  行政审批部门应当委托与自身职能、人员、财务等无直接和间接利益关系的中介服务机构开展中介服务，不得委托被列入异常经营名录、严重违法失信名单、失信中介服务机构管理名单的中介服务机构开展中介服务。</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Fonts w:ascii="黑体" w:hAnsi="黑体" w:cs="黑体" w:hint="eastAsia" w:eastAsia="黑体"/>
          <w:color w:val="000000"/>
          <w:sz w:val="32"/>
          <w:szCs w:val="32"/>
        </w:rPr>
        <w:t>第三十一条</w:t>
      </w:r>
      <w:r>
        <w:rPr>
          <w:rFonts w:ascii="仿宋" w:hAnsi="仿宋" w:cs="仿宋" w:hint="eastAsia" w:eastAsia="仿宋"/>
          <w:color w:val="000000"/>
          <w:sz w:val="32"/>
          <w:szCs w:val="32"/>
        </w:rPr>
        <w:t xml:space="preserve">  行政审批部门应当依法签订中介服务委托合同，明确服务事项、费用、标准、时限等内容，生效后不得擅自变更合同内容。</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Fonts w:ascii="黑体" w:hAnsi="黑体" w:cs="黑体" w:hint="eastAsia" w:eastAsia="黑体"/>
          <w:color w:val="000000"/>
          <w:sz w:val="32"/>
          <w:szCs w:val="32"/>
        </w:rPr>
        <w:t>第三十二条</w:t>
      </w:r>
      <w:r>
        <w:rPr>
          <w:rFonts w:ascii="仿宋" w:hAnsi="仿宋" w:cs="仿宋" w:hint="eastAsia" w:eastAsia="仿宋"/>
          <w:color w:val="000000"/>
          <w:sz w:val="32"/>
          <w:szCs w:val="32"/>
        </w:rPr>
        <w:t xml:space="preserve">  行政审批部门应当直接采信中介服务机构依法提供的中介服务意见。依据法律、法规对中介服务意见进行审核的，应当明确审核时限、流程和标准，审核所需费用由行政审批部门承担。经过审核，不采信中介服务意见的，应当向申请人、中介服务机构书面说明不予采信的理由。</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widowControl w:val="false"/>
        <w:kinsoku w:val="true"/>
        <w:overflowPunct w:val="true"/>
        <w:autoSpaceDE w:val="true"/>
        <w:bidi w:val="0"/>
        <w:snapToGrid w:val="true"/>
        <w:spacing w:lineRule="exact" w:line="570"/>
        <w:textAlignment w:val="auto"/>
        <w:rPr>
          <w:rFonts w:ascii="仿宋" w:hAnsi="仿宋" w:eastAsia="仿宋" w:cs="仿宋"/>
          <w:color w:val="000000"/>
          <w:sz w:val="32"/>
          <w:szCs w:val="32"/>
        </w:rPr>
      </w:pPr>
      <w:r>
        <w:rPr>
          <w:rFonts w:eastAsia="仿宋" w:cs="仿宋" w:ascii="仿宋" w:hAnsi="仿宋"/>
          <w:color w:val="000000"/>
          <w:sz w:val="32"/>
          <w:szCs w:val="32"/>
        </w:rPr>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widowControl w:val="false"/>
        <w:kinsoku w:val="true"/>
        <w:overflowPunct w:val="true"/>
        <w:autoSpaceDE w:val="true"/>
        <w:bidi w:val="0"/>
        <w:snapToGrid w:val="true"/>
        <w:spacing w:lineRule="exact" w:line="570"/>
        <w:ind w:firstLineChars="0" w:firstLine="0" w:startChars="0" w:start="0" w:endChars="0" w:end="0"/>
        <w:jc w:val="center"/>
        <w:textAlignment w:val="auto"/>
        <w:rPr>
          <w:rFonts w:ascii="黑体" w:hAnsi="黑体" w:eastAsia="黑体" w:cs="黑体" w:hint="eastAsia"/>
          <w:bCs/>
          <w:color w:val="000000"/>
          <w:sz w:val="32"/>
          <w:szCs w:val="32"/>
        </w:rPr>
      </w:pPr>
      <w:r>
        <w:rPr>
          <w:rFonts w:ascii="黑体" w:hAnsi="黑体" w:cs="黑体" w:hint="eastAsia" w:eastAsia="黑体"/>
          <w:bCs/>
          <w:color w:val="000000"/>
          <w:sz w:val="32"/>
          <w:szCs w:val="32"/>
        </w:rPr>
        <w:t>第五章  网上中介服务交易平台</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宋体" w:hAnsi="宋体" w:eastAsia="黑体" w:cs="宋体" w:hint="eastAsia"/>
          <w:bCs/>
          <w:color w:val="000000"/>
          <w:sz w:val="32"/>
          <w:szCs w:val="32"/>
        </w:rPr>
      </w:pPr>
      <w:r>
        <w:rPr>
          <w:rFonts w:eastAsia="黑体" w:cs="宋体" w:hint="eastAsia" w:ascii="宋体" w:hAnsi="宋体"/>
          <w:bCs/>
          <w:color w:val="000000"/>
          <w:sz w:val="32"/>
          <w:szCs w:val="32"/>
        </w:rPr>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widowControl w:val="false"/>
        <w:shd w:fill="FFFFFF" w:val="clear"/>
        <w:kinsoku w:val="true"/>
        <w:overflowPunct w:val="true"/>
        <w:autoSpaceDE w:val="true"/>
        <w:bidi w:val="0"/>
        <w:snapToGrid w:val="true"/>
        <w:spacing w:lineRule="exact" w:line="570"/>
        <w:ind w:firstLineChars="200" w:startChars="0" w:start="0" w:endChars="0" w:end="0"/>
        <w:textAlignment w:val="auto"/>
        <w:rPr>
          <w:rFonts w:ascii="仿宋" w:hAnsi="仿宋" w:eastAsia="仿宋" w:cs="Segoe UI"/>
          <w:color w:val="000000"/>
          <w:kern w:val="0"/>
          <w:sz w:val="32"/>
          <w:szCs w:val="32"/>
        </w:rPr>
      </w:pPr>
      <w:r>
        <w:rPr>
          <w:rFonts w:ascii="黑体" w:hAnsi="黑体" w:cs="黑体" w:hint="eastAsia" w:eastAsia="黑体"/>
          <w:color w:val="000000"/>
          <w:sz w:val="32"/>
          <w:szCs w:val="32"/>
        </w:rPr>
        <w:t>第三十三条</w:t>
      </w:r>
      <w:r>
        <w:rPr>
          <w:rFonts w:ascii="仿宋" w:hAnsi="仿宋" w:cs="仿宋" w:hint="eastAsia" w:eastAsia="仿宋"/>
          <w:color w:val="000000"/>
          <w:sz w:val="32"/>
          <w:szCs w:val="32"/>
        </w:rPr>
        <w:t xml:space="preserve">  </w:t>
      </w:r>
      <w:r>
        <w:rPr>
          <w:rFonts w:ascii="仿宋" w:hAnsi="仿宋" w:cs="Segoe UI" w:hint="eastAsia" w:eastAsia="仿宋"/>
          <w:color w:val="000000"/>
          <w:kern w:val="0"/>
          <w:sz w:val="32"/>
          <w:szCs w:val="32"/>
        </w:rPr>
        <w:t xml:space="preserve">省人民政府应当组织政务服务管理等相关部门和机构，依托省政务服务网建立全省统一的网上中介服务交易平台，实行网上展示、网上竞价、网上中标、网上评价、网上投诉，为当事人选择购买中介服务提供便利。 </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Segoe UI"/>
          <w:color w:val="000000"/>
          <w:kern w:val="0"/>
          <w:sz w:val="32"/>
          <w:szCs w:val="32"/>
        </w:rPr>
      </w:pPr>
      <w:r>
        <w:rPr>
          <w:rFonts w:ascii="黑体" w:hAnsi="黑体" w:cs="黑体" w:hint="eastAsia" w:eastAsia="黑体"/>
          <w:color w:val="000000"/>
          <w:sz w:val="32"/>
          <w:szCs w:val="32"/>
        </w:rPr>
        <w:t>第三十四条</w:t>
      </w:r>
      <w:r>
        <w:rPr>
          <w:rFonts w:ascii="仿宋" w:hAnsi="仿宋" w:cs="仿宋" w:hint="eastAsia" w:eastAsia="仿宋"/>
          <w:color w:val="000000"/>
          <w:sz w:val="32"/>
          <w:szCs w:val="32"/>
        </w:rPr>
        <w:t xml:space="preserve">  </w:t>
      </w:r>
      <w:r>
        <w:rPr>
          <w:rFonts w:ascii="仿宋" w:hAnsi="仿宋" w:cs="Segoe UI" w:hint="eastAsia" w:eastAsia="仿宋"/>
          <w:color w:val="000000"/>
          <w:kern w:val="0"/>
          <w:sz w:val="32"/>
          <w:szCs w:val="32"/>
        </w:rPr>
        <w:t>网上中介服务交易平台实行开放式动态管理，入驻的中介服务机构不受区域、行业、规模等限制。经依法登记的中介服务机构，可以自愿申请入驻网上中介服务交易平台。入驻后，有下列</w:t>
      </w:r>
      <w:r>
        <w:rPr>
          <w:rStyle w:val="New"/>
          <w:rFonts w:ascii="仿宋" w:hAnsi="仿宋" w:cs="仿宋" w:hint="eastAsia" w:eastAsia="仿宋"/>
          <w:b w:val="false"/>
          <w:bCs w:val="false"/>
          <w:color w:val="000000"/>
          <w:spacing w:val="7"/>
          <w:sz w:val="32"/>
          <w:szCs w:val="32"/>
        </w:rPr>
        <w:t>情形之一的，由</w:t>
      </w:r>
      <w:r>
        <w:rPr>
          <w:rFonts w:ascii="仿宋" w:hAnsi="仿宋" w:cs="Segoe UI" w:hint="eastAsia" w:eastAsia="仿宋"/>
          <w:b w:val="false"/>
          <w:bCs w:val="false"/>
          <w:color w:val="000000"/>
          <w:kern w:val="0"/>
          <w:sz w:val="32"/>
          <w:szCs w:val="32"/>
        </w:rPr>
        <w:t>政务服务管理部门</w:t>
      </w:r>
      <w:r>
        <w:rPr>
          <w:rStyle w:val="New"/>
          <w:rFonts w:ascii="仿宋" w:hAnsi="仿宋" w:cs="仿宋" w:hint="eastAsia" w:eastAsia="仿宋"/>
          <w:b w:val="false"/>
          <w:bCs w:val="false"/>
          <w:color w:val="000000"/>
          <w:spacing w:val="7"/>
          <w:sz w:val="32"/>
          <w:szCs w:val="32"/>
        </w:rPr>
        <w:t>取消其入驻资格：</w:t>
      </w:r>
    </w:p>
    <w:p>
      <w:pPr>
        <w:pStyle w:val="NormalWeb"/>
        <w:keepNext w:val="false"/>
        <w:keepLines w:val="false"/>
        <w:pageBreakBefore w:val="false"/>
        <w:widowControl w:val="false"/>
        <w:shd w:fill="FFFFFF" w:val="clear"/>
        <w:kinsoku w:val="true"/>
        <w:overflowPunct w:val="true"/>
        <w:autoSpaceDE w:val="true"/>
        <w:bidi w:val="0"/>
        <w:snapToGrid w:val="true"/>
        <w:spacing w:lineRule="exact" w:line="570" w:before="0" w:after="0"/>
        <w:ind w:firstLineChars="200" w:startChars="0" w:start="0" w:endChars="0" w:end="0"/>
        <w:jc w:val="both"/>
        <w:textAlignment w:val="auto"/>
        <w:rPr>
          <w:rFonts w:ascii="仿宋" w:hAnsi="仿宋" w:eastAsia="仿宋" w:cs="仿宋"/>
          <w:color w:val="000000"/>
          <w:spacing w:val="7"/>
          <w:sz w:val="32"/>
          <w:szCs w:val="32"/>
        </w:rPr>
      </w:pPr>
      <w:r>
        <w:rPr>
          <w:rFonts w:ascii="仿宋" w:hAnsi="仿宋" w:cs="仿宋" w:hint="eastAsia" w:eastAsia="仿宋"/>
          <w:color w:val="000000"/>
          <w:sz w:val="32"/>
          <w:szCs w:val="32"/>
        </w:rPr>
        <w:t>（一）被司法机关列为失信被执行人的；</w:t>
      </w:r>
    </w:p>
    <w:p>
      <w:pPr>
        <w:pStyle w:val="NormalWeb"/>
        <w:keepNext w:val="false"/>
        <w:keepLines w:val="false"/>
        <w:pageBreakBefore w:val="false"/>
        <w:widowControl w:val="false"/>
        <w:shd w:fill="FFFFFF" w:val="clear"/>
        <w:kinsoku w:val="true"/>
        <w:overflowPunct w:val="true"/>
        <w:autoSpaceDE w:val="true"/>
        <w:bidi w:val="0"/>
        <w:snapToGrid w:val="true"/>
        <w:spacing w:lineRule="exact" w:line="570" w:before="0" w:after="0"/>
        <w:ind w:firstLineChars="200" w:startChars="0" w:start="0" w:endChars="0" w:end="0"/>
        <w:jc w:val="both"/>
        <w:textAlignment w:val="auto"/>
        <w:rPr>
          <w:rFonts w:ascii="仿宋" w:hAnsi="仿宋" w:eastAsia="仿宋" w:cs="仿宋"/>
          <w:color w:val="000000"/>
          <w:spacing w:val="7"/>
          <w:sz w:val="32"/>
          <w:szCs w:val="32"/>
        </w:rPr>
      </w:pPr>
      <w:r>
        <w:rPr>
          <w:rFonts w:ascii="仿宋" w:hAnsi="仿宋" w:cs="仿宋" w:hint="eastAsia" w:eastAsia="仿宋"/>
          <w:color w:val="000000"/>
          <w:sz w:val="32"/>
          <w:szCs w:val="32"/>
        </w:rPr>
        <w:t>（二）被行政审批部门、市场监督管理部门、行业主管部门列入严重违法失信名单的；</w:t>
      </w:r>
    </w:p>
    <w:p>
      <w:pPr>
        <w:pStyle w:val="NormalWeb"/>
        <w:keepNext w:val="false"/>
        <w:keepLines w:val="false"/>
        <w:pageBreakBefore w:val="false"/>
        <w:widowControl w:val="false"/>
        <w:shd w:fill="FFFFFF" w:val="clear"/>
        <w:kinsoku w:val="true"/>
        <w:overflowPunct w:val="true"/>
        <w:autoSpaceDE w:val="true"/>
        <w:bidi w:val="0"/>
        <w:snapToGrid w:val="true"/>
        <w:spacing w:lineRule="exact" w:line="570" w:before="0" w:after="0"/>
        <w:ind w:firstLineChars="200" w:startChars="0" w:start="0" w:endChars="0" w:end="0"/>
        <w:jc w:val="both"/>
        <w:textAlignment w:val="auto"/>
        <w:rPr>
          <w:rFonts w:ascii="仿宋" w:hAnsi="仿宋" w:eastAsia="仿宋" w:cs="仿宋"/>
          <w:color w:val="000000"/>
          <w:spacing w:val="7"/>
          <w:sz w:val="32"/>
          <w:szCs w:val="32"/>
        </w:rPr>
      </w:pPr>
      <w:r>
        <w:rPr>
          <w:rFonts w:ascii="仿宋" w:hAnsi="仿宋" w:cs="仿宋" w:hint="eastAsia" w:eastAsia="仿宋"/>
          <w:color w:val="000000"/>
          <w:sz w:val="32"/>
          <w:szCs w:val="32"/>
        </w:rPr>
        <w:t>（三）申请入驻材料造假的；</w:t>
      </w:r>
    </w:p>
    <w:p>
      <w:pPr>
        <w:pStyle w:val="NormalWeb"/>
        <w:keepNext w:val="false"/>
        <w:keepLines w:val="false"/>
        <w:pageBreakBefore w:val="false"/>
        <w:widowControl w:val="false"/>
        <w:shd w:fill="FFFFFF" w:val="clear"/>
        <w:kinsoku w:val="true"/>
        <w:overflowPunct w:val="true"/>
        <w:autoSpaceDE w:val="true"/>
        <w:bidi w:val="0"/>
        <w:snapToGrid w:val="true"/>
        <w:spacing w:lineRule="exact" w:line="570" w:before="0" w:after="0"/>
        <w:ind w:firstLineChars="200" w:startChars="0" w:start="0" w:endChars="0" w:end="0"/>
        <w:jc w:val="both"/>
        <w:textAlignment w:val="auto"/>
        <w:rPr>
          <w:rFonts w:ascii="仿宋" w:hAnsi="仿宋" w:eastAsia="仿宋" w:cs="仿宋"/>
          <w:color w:val="000000"/>
          <w:spacing w:val="7"/>
          <w:sz w:val="32"/>
          <w:szCs w:val="32"/>
        </w:rPr>
      </w:pPr>
      <w:r>
        <w:rPr>
          <w:rFonts w:ascii="仿宋" w:hAnsi="仿宋" w:cs="仿宋" w:hint="eastAsia" w:eastAsia="仿宋"/>
          <w:color w:val="000000"/>
          <w:sz w:val="32"/>
          <w:szCs w:val="32"/>
        </w:rPr>
        <w:t>（四）</w:t>
      </w:r>
      <w:r>
        <w:rPr>
          <w:rFonts w:ascii="仿宋" w:hAnsi="仿宋" w:cs="仿宋" w:hint="eastAsia" w:eastAsia="仿宋"/>
          <w:color w:val="000000"/>
          <w:sz w:val="32"/>
          <w:szCs w:val="32"/>
          <w:shd w:fill="FFFFFF" w:val="clear"/>
        </w:rPr>
        <w:t>利用非法手段干预网上中介服务</w:t>
      </w:r>
      <w:r>
        <w:rPr>
          <w:rFonts w:ascii="仿宋" w:hAnsi="仿宋" w:cs="Segoe UI" w:hint="eastAsia" w:eastAsia="仿宋"/>
          <w:color w:val="000000"/>
          <w:sz w:val="32"/>
          <w:szCs w:val="32"/>
        </w:rPr>
        <w:t>交易平台</w:t>
      </w:r>
      <w:r>
        <w:rPr>
          <w:rFonts w:ascii="仿宋" w:hAnsi="仿宋" w:cs="仿宋" w:hint="eastAsia" w:eastAsia="仿宋"/>
          <w:color w:val="000000"/>
          <w:sz w:val="32"/>
          <w:szCs w:val="32"/>
          <w:shd w:fill="FFFFFF" w:val="clear"/>
        </w:rPr>
        <w:t>运营、服务、监管</w:t>
      </w:r>
      <w:r>
        <w:rPr>
          <w:rStyle w:val="New"/>
          <w:rFonts w:ascii="仿宋" w:hAnsi="仿宋" w:cs="仿宋" w:hint="eastAsia" w:eastAsia="仿宋"/>
          <w:b w:val="false"/>
          <w:bCs w:val="false"/>
          <w:color w:val="000000"/>
          <w:spacing w:val="7"/>
          <w:sz w:val="32"/>
          <w:szCs w:val="32"/>
        </w:rPr>
        <w:t>的</w:t>
      </w:r>
      <w:r>
        <w:rPr>
          <w:rFonts w:ascii="仿宋" w:hAnsi="仿宋" w:cs="仿宋" w:hint="eastAsia" w:eastAsia="仿宋"/>
          <w:b w:val="false"/>
          <w:bCs w:val="false"/>
          <w:color w:val="000000"/>
          <w:sz w:val="32"/>
          <w:szCs w:val="32"/>
        </w:rPr>
        <w:t>；</w:t>
      </w:r>
    </w:p>
    <w:p>
      <w:pPr>
        <w:pStyle w:val="NormalWeb"/>
        <w:keepNext w:val="false"/>
        <w:keepLines w:val="false"/>
        <w:pageBreakBefore w:val="false"/>
        <w:widowControl w:val="false"/>
        <w:shd w:fill="FFFFFF" w:val="clear"/>
        <w:kinsoku w:val="true"/>
        <w:overflowPunct w:val="true"/>
        <w:autoSpaceDE w:val="true"/>
        <w:bidi w:val="0"/>
        <w:snapToGrid w:val="true"/>
        <w:spacing w:lineRule="exact" w:line="570" w:before="0" w:after="0"/>
        <w:ind w:firstLineChars="200" w:startChars="0" w:start="0" w:endChars="0" w:end="0"/>
        <w:jc w:val="both"/>
        <w:textAlignment w:val="auto"/>
        <w:rPr>
          <w:rFonts w:ascii="仿宋" w:hAnsi="仿宋" w:eastAsia="仿宋" w:cs="仿宋"/>
          <w:color w:val="000000"/>
          <w:sz w:val="32"/>
          <w:szCs w:val="32"/>
        </w:rPr>
      </w:pPr>
      <w:r>
        <w:rPr>
          <w:rFonts w:ascii="仿宋" w:hAnsi="仿宋" w:cs="仿宋" w:hint="eastAsia" w:eastAsia="仿宋"/>
          <w:color w:val="000000"/>
          <w:sz w:val="32"/>
          <w:szCs w:val="32"/>
        </w:rPr>
        <w:t>（五）违反网络平台服务协议和交易规则的；</w:t>
      </w:r>
    </w:p>
    <w:p>
      <w:pPr>
        <w:pStyle w:val="NormalWeb"/>
        <w:keepNext w:val="false"/>
        <w:keepLines w:val="false"/>
        <w:pageBreakBefore w:val="false"/>
        <w:widowControl w:val="false"/>
        <w:shd w:fill="FFFFFF" w:val="clear"/>
        <w:kinsoku w:val="true"/>
        <w:overflowPunct w:val="true"/>
        <w:autoSpaceDE w:val="true"/>
        <w:bidi w:val="0"/>
        <w:snapToGrid w:val="true"/>
        <w:spacing w:lineRule="exact" w:line="570" w:before="0" w:after="0"/>
        <w:ind w:firstLineChars="200" w:startChars="0" w:start="0" w:endChars="0" w:end="0"/>
        <w:jc w:val="both"/>
        <w:textAlignment w:val="auto"/>
        <w:rPr>
          <w:rFonts w:ascii="仿宋" w:hAnsi="仿宋" w:eastAsia="仿宋" w:cs="仿宋"/>
          <w:color w:val="000000"/>
          <w:sz w:val="32"/>
          <w:szCs w:val="32"/>
        </w:rPr>
      </w:pPr>
      <w:r>
        <w:rPr>
          <w:rFonts w:ascii="仿宋" w:hAnsi="仿宋" w:cs="仿宋" w:hint="eastAsia" w:eastAsia="仿宋"/>
          <w:color w:val="000000"/>
          <w:sz w:val="32"/>
          <w:szCs w:val="32"/>
        </w:rPr>
        <w:t>（六）法律、法规规定的其他情形。</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widowControl w:val="false"/>
        <w:shd w:fill="FFFFFF" w:val="clear"/>
        <w:kinsoku w:val="true"/>
        <w:overflowPunct w:val="true"/>
        <w:autoSpaceDE w:val="true"/>
        <w:bidi w:val="0"/>
        <w:snapToGrid w:val="true"/>
        <w:spacing w:lineRule="exact" w:line="570"/>
        <w:ind w:firstLineChars="200" w:startChars="0" w:start="0" w:endChars="0" w:end="0"/>
        <w:textAlignment w:val="auto"/>
        <w:rPr>
          <w:rFonts w:ascii="黑体" w:hAnsi="黑体" w:eastAsia="黑体" w:cs="黑体"/>
          <w:color w:val="000000"/>
          <w:sz w:val="32"/>
          <w:szCs w:val="32"/>
        </w:rPr>
      </w:pPr>
      <w:r>
        <w:rPr>
          <w:rFonts w:ascii="黑体" w:hAnsi="黑体" w:cs="黑体" w:hint="eastAsia" w:eastAsia="黑体"/>
          <w:color w:val="000000"/>
          <w:sz w:val="32"/>
          <w:szCs w:val="32"/>
        </w:rPr>
        <w:t xml:space="preserve">第三十五条  </w:t>
      </w:r>
      <w:r>
        <w:rPr>
          <w:rFonts w:ascii="仿宋" w:hAnsi="仿宋" w:cs="仿宋" w:hint="eastAsia" w:eastAsia="仿宋"/>
          <w:color w:val="000000"/>
          <w:sz w:val="32"/>
          <w:szCs w:val="32"/>
        </w:rPr>
        <w:t>省</w:t>
      </w:r>
      <w:r>
        <w:rPr>
          <w:rFonts w:ascii="仿宋" w:hAnsi="仿宋" w:cs="Segoe UI" w:hint="eastAsia" w:eastAsia="仿宋"/>
          <w:color w:val="000000"/>
          <w:kern w:val="0"/>
          <w:sz w:val="32"/>
          <w:szCs w:val="32"/>
        </w:rPr>
        <w:t>政务服务管理部门应当建立联合奖励和惩戒机制，加强网上中介服务交易平台运营服务的监督管理。监督管理的具体办法，由省政务服务管理部门会同相关部门和机构制定。</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widowControl w:val="false"/>
        <w:shd w:fill="FFFFFF" w:val="clear"/>
        <w:kinsoku w:val="true"/>
        <w:overflowPunct w:val="true"/>
        <w:autoSpaceDE w:val="true"/>
        <w:bidi w:val="0"/>
        <w:snapToGrid w:val="true"/>
        <w:spacing w:lineRule="exact" w:line="570"/>
        <w:ind w:firstLineChars="200" w:startChars="0" w:start="0" w:endChars="0" w:end="0"/>
        <w:textAlignment w:val="auto"/>
        <w:rPr>
          <w:rFonts w:ascii="黑体" w:hAnsi="黑体" w:eastAsia="黑体" w:cs="宋体"/>
          <w:color w:val="000000"/>
          <w:spacing w:val="8"/>
          <w:kern w:val="0"/>
          <w:sz w:val="32"/>
          <w:szCs w:val="32"/>
        </w:rPr>
      </w:pPr>
      <w:r>
        <w:rPr>
          <w:rFonts w:eastAsia="黑体" w:cs="宋体" w:ascii="黑体" w:hAnsi="黑体"/>
          <w:color w:val="000000"/>
          <w:spacing w:val="8"/>
          <w:kern w:val="0"/>
          <w:sz w:val="32"/>
          <w:szCs w:val="32"/>
        </w:rPr>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widowControl w:val="false"/>
        <w:kinsoku w:val="true"/>
        <w:overflowPunct w:val="true"/>
        <w:autoSpaceDE w:val="true"/>
        <w:bidi w:val="0"/>
        <w:snapToGrid w:val="true"/>
        <w:spacing w:lineRule="exact" w:line="570"/>
        <w:ind w:firstLineChars="0" w:firstLine="0" w:startChars="0" w:start="0" w:endChars="0" w:end="0"/>
        <w:jc w:val="center"/>
        <w:textAlignment w:val="auto"/>
        <w:rPr>
          <w:rFonts w:ascii="黑体" w:hAnsi="黑体" w:eastAsia="黑体" w:cs="黑体" w:hint="eastAsia"/>
          <w:bCs/>
          <w:color w:val="000000"/>
          <w:sz w:val="32"/>
          <w:szCs w:val="32"/>
        </w:rPr>
      </w:pPr>
      <w:r>
        <w:rPr>
          <w:rFonts w:ascii="黑体" w:hAnsi="黑体" w:cs="黑体" w:hint="eastAsia" w:eastAsia="黑体"/>
          <w:bCs/>
          <w:color w:val="000000"/>
          <w:sz w:val="32"/>
          <w:szCs w:val="32"/>
        </w:rPr>
        <w:t>第六章  法律责任</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黑体" w:hAnsi="黑体" w:eastAsia="黑体" w:cs="黑体" w:hint="eastAsia"/>
          <w:bCs/>
          <w:color w:val="000000"/>
          <w:sz w:val="32"/>
          <w:szCs w:val="32"/>
        </w:rPr>
      </w:pPr>
      <w:r>
        <w:rPr>
          <w:rFonts w:eastAsia="黑体" w:cs="黑体" w:hint="eastAsia" w:ascii="黑体" w:hAnsi="黑体"/>
          <w:bCs/>
          <w:color w:val="000000"/>
          <w:sz w:val="32"/>
          <w:szCs w:val="32"/>
        </w:rPr>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28"/>
          <w:szCs w:val="28"/>
        </w:rPr>
      </w:pPr>
      <w:r>
        <w:rPr>
          <w:rFonts w:ascii="黑体" w:hAnsi="黑体" w:cs="黑体" w:hint="eastAsia" w:eastAsia="黑体"/>
          <w:color w:val="000000"/>
          <w:sz w:val="32"/>
          <w:szCs w:val="32"/>
        </w:rPr>
        <w:t>第三十六条</w:t>
      </w:r>
      <w:r>
        <w:rPr>
          <w:rFonts w:ascii="仿宋" w:hAnsi="仿宋" w:cs="仿宋" w:hint="eastAsia" w:eastAsia="仿宋"/>
          <w:color w:val="000000"/>
          <w:sz w:val="32"/>
          <w:szCs w:val="32"/>
        </w:rPr>
        <w:t xml:space="preserve">  中介服务机构及其执业人员违反本条例规定有下列情形之一的，由相关行政管理部门给予警告并责令限期改正，没收违法所得；逾期不改正的，处五千元以上三万元以下罚款；情节严重的，依法吊销营业执照、许可证；给其他中介服务机构、委托人或者他人造成损失的，依法承担赔偿责任：</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（一）聘用与自身服务范围存在隶属关系的行政审批部门的在职人员、退休人员的；</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（二）未在经营场所或者门户网站公示服务内容或者违反公示内容提供中介服务的；</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（三）</w:t>
      </w:r>
      <w:r>
        <w:rPr>
          <w:rFonts w:ascii="仿宋" w:hAnsi="仿宋" w:cs="仿宋" w:hint="eastAsia" w:eastAsia="仿宋"/>
          <w:color w:val="000000"/>
          <w:sz w:val="32"/>
          <w:szCs w:val="32"/>
          <w:shd w:fill="FFFFFF" w:val="clear"/>
        </w:rPr>
        <w:t>利用非法手段干预网上中介服务</w:t>
      </w:r>
      <w:r>
        <w:rPr>
          <w:rFonts w:ascii="仿宋" w:hAnsi="仿宋" w:cs="Segoe UI" w:hint="eastAsia" w:eastAsia="仿宋"/>
          <w:color w:val="000000"/>
          <w:kern w:val="0"/>
          <w:sz w:val="32"/>
          <w:szCs w:val="32"/>
        </w:rPr>
        <w:t>交易平台</w:t>
      </w:r>
      <w:r>
        <w:rPr>
          <w:rFonts w:ascii="仿宋" w:hAnsi="仿宋" w:cs="仿宋" w:hint="eastAsia" w:eastAsia="仿宋"/>
          <w:color w:val="000000"/>
          <w:sz w:val="32"/>
          <w:szCs w:val="32"/>
          <w:shd w:fill="FFFFFF" w:val="clear"/>
        </w:rPr>
        <w:t>运营、服务、监管的；</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shd w:fill="FFFFFF" w:val="clear"/>
        </w:rPr>
        <w:t>（四）</w:t>
      </w:r>
      <w:r>
        <w:rPr>
          <w:rFonts w:ascii="仿宋" w:hAnsi="仿宋" w:cs="仿宋" w:hint="eastAsia" w:eastAsia="仿宋"/>
          <w:color w:val="000000"/>
          <w:sz w:val="32"/>
          <w:szCs w:val="32"/>
        </w:rPr>
        <w:t>未依据行业收费标准收取费用或者通过分解收费项目、重复收取费用、扩大收费范围、减少服务内容和降低服务质量等变相提高收费标准的；</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（五）除法律法规另有规定外，中介服务机构执业人员以同一执业资格在多个同类行业中介服务机构任职的；</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（六）未按照规定期限保存中介服务执业记录的。</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行业协会组织本行业中介服务机构实施前款行为的，由其业务主管单位依法给予处罚；情节严重的，由登记机关依法撤销登记或者吊销法人登记证书。</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Fonts w:ascii="黑体" w:hAnsi="黑体" w:cs="黑体" w:hint="eastAsia" w:eastAsia="黑体"/>
          <w:color w:val="000000"/>
          <w:sz w:val="32"/>
          <w:szCs w:val="32"/>
        </w:rPr>
        <w:t xml:space="preserve">第三十七条  </w:t>
      </w:r>
      <w:r>
        <w:rPr>
          <w:rFonts w:ascii="仿宋" w:hAnsi="仿宋" w:cs="仿宋" w:hint="eastAsia" w:eastAsia="仿宋"/>
          <w:color w:val="000000"/>
          <w:sz w:val="32"/>
          <w:szCs w:val="32"/>
        </w:rPr>
        <w:t>行政审批部门、行业主管部门、市场监督管理部门和有关职能部门</w:t>
      </w:r>
      <w:r>
        <w:rPr>
          <w:rFonts w:ascii="仿宋" w:hAnsi="仿宋" w:cs="仿宋" w:hint="eastAsia" w:eastAsia="仿宋"/>
          <w:color w:val="000000"/>
          <w:sz w:val="32"/>
          <w:szCs w:val="32"/>
        </w:rPr>
        <w:t>及其所属工作人员违反本条例规定，</w:t>
      </w:r>
      <w:r>
        <w:rPr>
          <w:rFonts w:ascii="仿宋" w:hAnsi="仿宋" w:cs="仿宋" w:hint="eastAsia" w:eastAsia="仿宋"/>
          <w:color w:val="000000"/>
          <w:sz w:val="32"/>
          <w:szCs w:val="32"/>
        </w:rPr>
        <w:t>有下列情形之一的</w:t>
      </w:r>
      <w:r>
        <w:rPr>
          <w:rFonts w:ascii="仿宋" w:hAnsi="仿宋" w:cs="仿宋" w:hint="eastAsia" w:eastAsia="仿宋"/>
          <w:color w:val="000000"/>
          <w:sz w:val="32"/>
          <w:szCs w:val="32"/>
        </w:rPr>
        <w:t>，</w:t>
      </w:r>
      <w:r>
        <w:rPr>
          <w:rFonts w:ascii="仿宋" w:hAnsi="仿宋" w:cs="仿宋" w:hint="eastAsia" w:eastAsia="仿宋"/>
          <w:color w:val="000000"/>
          <w:sz w:val="32"/>
          <w:szCs w:val="32"/>
        </w:rPr>
        <w:t>由所在单位、上级行政管理部门责令改正，并依法追究直接负责的主管人员和其他直接责任人员的行政责任：</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（一）在法定中介服务事项</w:t>
      </w:r>
      <w:r>
        <w:rPr>
          <w:rFonts w:ascii="仿宋" w:hAnsi="仿宋" w:cs="仿宋" w:eastAsia="仿宋"/>
          <w:color w:val="000000"/>
          <w:sz w:val="32"/>
          <w:szCs w:val="32"/>
        </w:rPr>
        <w:t>清单</w:t>
      </w:r>
      <w:r>
        <w:rPr>
          <w:rFonts w:ascii="仿宋" w:hAnsi="仿宋" w:cs="仿宋" w:hint="eastAsia" w:eastAsia="仿宋"/>
          <w:color w:val="000000"/>
          <w:sz w:val="32"/>
          <w:szCs w:val="32"/>
        </w:rPr>
        <w:t>外，要求申请人委托中介服务机构的，并要求申请人提供相关中介服务材料的；</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（二）在法定资质资格许可外，增设中介服务机构资质资格审批的，增设区域性、行业性、部门间中介服务机构执业限制的，增设限额管理控制中介服务机构数量、服务范围的；</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（三）将</w:t>
      </w:r>
      <w:r>
        <w:rPr>
          <w:rFonts w:ascii="仿宋" w:hAnsi="仿宋" w:cs="仿宋" w:eastAsia="仿宋"/>
          <w:color w:val="000000"/>
          <w:sz w:val="32"/>
          <w:szCs w:val="32"/>
        </w:rPr>
        <w:t>中介服务事项清单</w:t>
      </w:r>
      <w:r>
        <w:rPr>
          <w:rFonts w:ascii="仿宋" w:hAnsi="仿宋" w:cs="仿宋" w:hint="eastAsia" w:eastAsia="仿宋"/>
          <w:color w:val="000000"/>
          <w:sz w:val="32"/>
          <w:szCs w:val="32"/>
        </w:rPr>
        <w:t>外的服务，作为行政审批条件的；</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（四）将现有或者已经取消的行政审批事项，转为委托中介服务形式开展的；</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widowControl w:val="false"/>
        <w:kinsoku w:val="true"/>
        <w:overflowPunct w:val="true"/>
        <w:autoSpaceDE w:val="true"/>
        <w:bidi w:val="0"/>
        <w:snapToGrid w:val="true"/>
        <w:spacing w:lineRule="exact" w:line="570"/>
        <w:ind w:firstLine="560" w:end="0"/>
        <w:textAlignment w:val="auto"/>
        <w:rPr>
          <w:rFonts w:ascii="仿宋" w:hAnsi="仿宋" w:eastAsia="仿宋" w:cs="仿宋"/>
          <w:color w:val="000000"/>
          <w:sz w:val="32"/>
          <w:szCs w:val="32"/>
        </w:rPr>
      </w:pPr>
      <w:r>
        <w:rPr>
          <w:rFonts w:ascii="仿宋" w:hAnsi="仿宋" w:cs="仿宋" w:eastAsia="仿宋"/>
          <w:color w:val="000000"/>
          <w:sz w:val="32"/>
          <w:szCs w:val="32"/>
        </w:rPr>
        <w:t>（</w:t>
      </w:r>
      <w:r>
        <w:rPr>
          <w:rFonts w:ascii="仿宋" w:hAnsi="仿宋" w:cs="仿宋" w:hint="eastAsia" w:eastAsia="仿宋"/>
          <w:color w:val="000000"/>
          <w:sz w:val="32"/>
          <w:szCs w:val="32"/>
        </w:rPr>
        <w:t>五</w:t>
      </w:r>
      <w:r>
        <w:rPr>
          <w:rFonts w:ascii="仿宋" w:hAnsi="仿宋" w:cs="仿宋" w:eastAsia="仿宋"/>
          <w:color w:val="000000"/>
          <w:sz w:val="32"/>
          <w:szCs w:val="32"/>
        </w:rPr>
        <w:t>）将申请人</w:t>
      </w:r>
      <w:r>
        <w:rPr>
          <w:rFonts w:ascii="仿宋" w:hAnsi="仿宋" w:cs="仿宋" w:hint="eastAsia" w:eastAsia="仿宋"/>
          <w:color w:val="000000"/>
          <w:sz w:val="32"/>
          <w:szCs w:val="32"/>
        </w:rPr>
        <w:t>可以</w:t>
      </w:r>
      <w:r>
        <w:rPr>
          <w:rFonts w:ascii="仿宋" w:hAnsi="仿宋" w:cs="仿宋" w:eastAsia="仿宋"/>
          <w:color w:val="000000"/>
          <w:sz w:val="32"/>
          <w:szCs w:val="32"/>
        </w:rPr>
        <w:t>自行完成的事项强制限定为中介服务机构提供</w:t>
      </w:r>
      <w:r>
        <w:rPr>
          <w:rFonts w:ascii="仿宋" w:hAnsi="仿宋" w:cs="仿宋" w:hint="eastAsia" w:eastAsia="仿宋"/>
          <w:color w:val="000000"/>
          <w:sz w:val="32"/>
          <w:szCs w:val="32"/>
        </w:rPr>
        <w:t>的</w:t>
      </w:r>
      <w:r>
        <w:rPr>
          <w:rFonts w:ascii="仿宋" w:hAnsi="仿宋" w:cs="仿宋" w:eastAsia="仿宋"/>
          <w:color w:val="000000"/>
          <w:sz w:val="32"/>
          <w:szCs w:val="32"/>
        </w:rPr>
        <w:t>；</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widowControl w:val="false"/>
        <w:kinsoku w:val="true"/>
        <w:overflowPunct w:val="true"/>
        <w:autoSpaceDE w:val="true"/>
        <w:bidi w:val="0"/>
        <w:snapToGrid w:val="true"/>
        <w:spacing w:lineRule="exact" w:line="570"/>
        <w:ind w:firstLine="560" w:end="0"/>
        <w:textAlignment w:val="auto"/>
        <w:rPr>
          <w:rFonts w:ascii="仿宋" w:hAnsi="仿宋" w:eastAsia="仿宋" w:cs="仿宋"/>
          <w:color w:val="000000"/>
          <w:sz w:val="32"/>
          <w:szCs w:val="32"/>
        </w:rPr>
      </w:pPr>
      <w:r>
        <w:rPr>
          <w:rFonts w:ascii="仿宋" w:hAnsi="仿宋" w:cs="仿宋" w:eastAsia="仿宋"/>
          <w:color w:val="000000"/>
          <w:sz w:val="32"/>
          <w:szCs w:val="32"/>
        </w:rPr>
        <w:t>（</w:t>
      </w:r>
      <w:r>
        <w:rPr>
          <w:rFonts w:ascii="仿宋" w:hAnsi="仿宋" w:cs="仿宋" w:hint="eastAsia" w:eastAsia="仿宋"/>
          <w:color w:val="000000"/>
          <w:sz w:val="32"/>
          <w:szCs w:val="32"/>
        </w:rPr>
        <w:t>六</w:t>
      </w:r>
      <w:r>
        <w:rPr>
          <w:rFonts w:ascii="仿宋" w:hAnsi="仿宋" w:cs="仿宋" w:eastAsia="仿宋"/>
          <w:color w:val="000000"/>
          <w:sz w:val="32"/>
          <w:szCs w:val="32"/>
        </w:rPr>
        <w:t>）将一项中介服务事项拆分为多个环节</w:t>
      </w:r>
      <w:r>
        <w:rPr>
          <w:rFonts w:ascii="仿宋" w:hAnsi="仿宋" w:cs="仿宋" w:hint="eastAsia" w:eastAsia="仿宋"/>
          <w:color w:val="000000"/>
          <w:sz w:val="32"/>
          <w:szCs w:val="32"/>
        </w:rPr>
        <w:t>的</w:t>
      </w:r>
      <w:r>
        <w:rPr>
          <w:rFonts w:ascii="仿宋" w:hAnsi="仿宋" w:cs="仿宋" w:eastAsia="仿宋"/>
          <w:color w:val="000000"/>
          <w:sz w:val="32"/>
          <w:szCs w:val="32"/>
        </w:rPr>
        <w:t>；</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widowControl w:val="false"/>
        <w:kinsoku w:val="true"/>
        <w:overflowPunct w:val="true"/>
        <w:autoSpaceDE w:val="true"/>
        <w:bidi w:val="0"/>
        <w:snapToGrid w:val="true"/>
        <w:spacing w:lineRule="exact" w:line="570"/>
        <w:ind w:firstLine="56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（七）将政府委托中介服务费用转嫁给中介服务机构或者申请人的；</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（八）</w:t>
      </w:r>
      <w:r>
        <w:rPr>
          <w:rFonts w:ascii="仿宋" w:hAnsi="仿宋" w:cs="仿宋" w:hint="eastAsia" w:eastAsia="仿宋"/>
          <w:color w:val="000000"/>
          <w:sz w:val="32"/>
          <w:szCs w:val="32"/>
        </w:rPr>
        <w:t>政府委托中介服务未依法采用</w:t>
      </w:r>
      <w:r>
        <w:rPr>
          <w:rFonts w:ascii="仿宋" w:hAnsi="仿宋" w:cs="仿宋" w:hint="eastAsia" w:eastAsia="仿宋"/>
          <w:color w:val="000000"/>
          <w:sz w:val="32"/>
          <w:szCs w:val="32"/>
        </w:rPr>
        <w:t>竞争方式选定中介服务机构，划定区域、指定中介服务机构或者附加不合理条件的；</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shd w:fill="FFFFFF" w:val="clear"/>
        </w:rPr>
        <w:t>（九）</w:t>
      </w:r>
      <w:r>
        <w:rPr>
          <w:rFonts w:ascii="仿宋" w:hAnsi="仿宋" w:cs="仿宋" w:hint="eastAsia" w:eastAsia="仿宋"/>
          <w:color w:val="000000"/>
          <w:sz w:val="32"/>
          <w:szCs w:val="32"/>
        </w:rPr>
        <w:t>未依法核实情况导致中介服务机构未入驻网上中介服务交易平台的</w:t>
      </w:r>
      <w:r>
        <w:rPr>
          <w:rFonts w:ascii="仿宋" w:hAnsi="仿宋" w:cs="仿宋" w:hint="eastAsia" w:eastAsia="仿宋"/>
          <w:color w:val="000000"/>
          <w:sz w:val="32"/>
          <w:szCs w:val="32"/>
          <w:shd w:fill="FFFFFF" w:val="clear"/>
        </w:rPr>
        <w:t>；</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（十）委托与自身职能、人员、财务等有利益关系</w:t>
      </w:r>
      <w:r>
        <w:rPr>
          <w:rFonts w:ascii="仿宋" w:hAnsi="仿宋" w:cs="仿宋" w:hint="eastAsia" w:eastAsia="仿宋"/>
          <w:color w:val="000000"/>
          <w:sz w:val="32"/>
          <w:szCs w:val="32"/>
        </w:rPr>
        <w:t>或者</w:t>
      </w:r>
      <w:r>
        <w:rPr>
          <w:rFonts w:ascii="仿宋" w:hAnsi="仿宋" w:cs="仿宋" w:hint="eastAsia" w:eastAsia="仿宋"/>
          <w:color w:val="000000"/>
          <w:sz w:val="32"/>
          <w:szCs w:val="32"/>
        </w:rPr>
        <w:t>委托被列入异常经营名录、严重违法失信名单、失信中介服务机构管理名单的中介服务机构开展中介服务的；</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（十一）未依法签订中介服务委托合同或者擅自变更合同内容的；</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（十二）有其他滥用职权、玩忽职守、徇私舞弊以及不作为行为的。</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Fonts w:ascii="黑体" w:hAnsi="黑体" w:cs="黑体" w:hint="eastAsia" w:eastAsia="黑体"/>
          <w:color w:val="000000"/>
          <w:sz w:val="32"/>
          <w:szCs w:val="32"/>
        </w:rPr>
        <w:t xml:space="preserve">第三十八条  </w:t>
      </w:r>
      <w:r>
        <w:rPr>
          <w:rFonts w:ascii="仿宋" w:hAnsi="仿宋" w:cs="仿宋" w:hint="eastAsia" w:eastAsia="仿宋"/>
          <w:color w:val="000000"/>
          <w:sz w:val="32"/>
          <w:szCs w:val="32"/>
        </w:rPr>
        <w:t>对被市场监督管理部门列入经营异常名录和严重违法失信企业名单、被行业主管部门列入失信中介服务机构管理名单的中介服务机构，可以采取以下措施：</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（一）在</w:t>
      </w:r>
      <w:r>
        <w:rPr>
          <w:rFonts w:ascii="仿宋" w:hAnsi="仿宋" w:cs="Segoe UI" w:hint="eastAsia" w:eastAsia="仿宋"/>
          <w:color w:val="000000"/>
          <w:kern w:val="0"/>
          <w:sz w:val="32"/>
          <w:szCs w:val="32"/>
        </w:rPr>
        <w:t>网上中介服务交易平台和中介服务信息管理平台</w:t>
      </w:r>
      <w:r>
        <w:rPr>
          <w:rFonts w:ascii="仿宋" w:hAnsi="仿宋" w:cs="仿宋" w:hint="eastAsia" w:eastAsia="仿宋"/>
          <w:color w:val="000000"/>
          <w:sz w:val="32"/>
          <w:szCs w:val="32"/>
        </w:rPr>
        <w:t>公示违法失信行为；</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（二）移出中介服务机构名录库；</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（三）不予委托使用财政性资金项目的中介服务业务；</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（四）不予采信中介服务结论。</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Fonts w:ascii="黑体" w:hAnsi="黑体" w:cs="黑体" w:hint="eastAsia" w:eastAsia="黑体"/>
          <w:color w:val="000000"/>
          <w:sz w:val="32"/>
          <w:szCs w:val="32"/>
        </w:rPr>
        <w:t xml:space="preserve">第三十九条  </w:t>
      </w:r>
      <w:r>
        <w:rPr>
          <w:rFonts w:ascii="仿宋" w:hAnsi="仿宋" w:cs="仿宋" w:hint="eastAsia" w:eastAsia="仿宋"/>
          <w:color w:val="000000"/>
          <w:sz w:val="32"/>
          <w:szCs w:val="32"/>
        </w:rPr>
        <w:t>行政审批部门、行业主管部门、市场监督管理部门和有关职能部门</w:t>
      </w:r>
      <w:r>
        <w:rPr>
          <w:rFonts w:ascii="仿宋" w:hAnsi="仿宋" w:cs="仿宋" w:hint="eastAsia" w:eastAsia="仿宋"/>
          <w:color w:val="000000"/>
          <w:sz w:val="32"/>
          <w:szCs w:val="32"/>
        </w:rPr>
        <w:t>及其所属工作人员，行业协会、中介服务机构及其从业人员</w:t>
      </w:r>
      <w:r>
        <w:rPr>
          <w:rFonts w:ascii="仿宋" w:hAnsi="仿宋" w:cs="仿宋" w:hint="eastAsia" w:eastAsia="仿宋"/>
          <w:color w:val="000000"/>
          <w:sz w:val="32"/>
          <w:szCs w:val="32"/>
        </w:rPr>
        <w:t>违反本条例规定，法律、行政法规已有处理规定的，从其规定；涉嫌犯罪的，依法移送有关机关处理。</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b/>
          <w:color w:val="000000"/>
          <w:sz w:val="32"/>
          <w:szCs w:val="32"/>
        </w:rPr>
      </w:pPr>
      <w:r>
        <w:rPr>
          <w:rFonts w:eastAsia="仿宋" w:cs="仿宋" w:ascii="仿宋" w:hAnsi="仿宋"/>
          <w:b/>
          <w:color w:val="000000"/>
          <w:sz w:val="32"/>
          <w:szCs w:val="32"/>
        </w:rPr>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widowControl w:val="false"/>
        <w:kinsoku w:val="true"/>
        <w:overflowPunct w:val="true"/>
        <w:autoSpaceDE w:val="true"/>
        <w:bidi w:val="0"/>
        <w:snapToGrid w:val="true"/>
        <w:spacing w:lineRule="exact" w:line="570"/>
        <w:ind w:firstLineChars="0" w:firstLine="0" w:startChars="0" w:start="0" w:endChars="0" w:end="0"/>
        <w:jc w:val="center"/>
        <w:textAlignment w:val="auto"/>
        <w:rPr>
          <w:rFonts w:ascii="黑体" w:hAnsi="黑体" w:eastAsia="黑体" w:cs="黑体" w:hint="eastAsia"/>
          <w:bCs/>
          <w:color w:val="000000"/>
          <w:sz w:val="32"/>
          <w:szCs w:val="32"/>
        </w:rPr>
      </w:pPr>
      <w:r>
        <w:rPr>
          <w:rFonts w:ascii="黑体" w:hAnsi="黑体" w:cs="黑体" w:hint="eastAsia" w:eastAsia="黑体"/>
          <w:bCs/>
          <w:color w:val="000000"/>
          <w:sz w:val="32"/>
          <w:szCs w:val="32"/>
        </w:rPr>
        <w:t>第七章  附则</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center"/>
        <w:textAlignment w:val="auto"/>
        <w:rPr>
          <w:rFonts w:ascii="仿宋" w:hAnsi="仿宋" w:eastAsia="仿宋" w:cs="仿宋" w:hint="eastAsia"/>
          <w:bCs/>
          <w:color w:val="000000"/>
          <w:sz w:val="32"/>
          <w:szCs w:val="32"/>
        </w:rPr>
      </w:pPr>
      <w:r>
        <w:rPr>
          <w:rFonts w:eastAsia="仿宋" w:cs="仿宋" w:hint="eastAsia" w:ascii="仿宋" w:hAnsi="仿宋"/>
          <w:bCs/>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第四十条</w:t>
      </w:r>
      <w:r>
        <w:rPr>
          <w:rFonts w:ascii="仿宋" w:hAnsi="仿宋" w:cs="仿宋" w:hint="eastAsia" w:eastAsia="仿宋"/>
          <w:color w:val="000000"/>
          <w:sz w:val="32"/>
          <w:szCs w:val="32"/>
        </w:rPr>
        <w:t xml:space="preserve">  本条例自</w:t>
      </w:r>
      <w:r>
        <w:rPr>
          <w:rFonts w:eastAsia="仿宋" w:cs="仿宋" w:hint="eastAsia" w:ascii="仿宋" w:hAnsi="仿宋"/>
          <w:color w:val="000000"/>
          <w:sz w:val="32"/>
          <w:szCs w:val="32"/>
        </w:rPr>
        <w:t>2019</w:t>
      </w:r>
      <w:r>
        <w:rPr>
          <w:rFonts w:ascii="仿宋" w:hAnsi="仿宋" w:cs="仿宋" w:hint="eastAsia" w:eastAsia="仿宋"/>
          <w:color w:val="000000"/>
          <w:sz w:val="32"/>
          <w:szCs w:val="32"/>
        </w:rPr>
        <w:t>年</w:t>
      </w:r>
      <w:r>
        <w:rPr>
          <w:rFonts w:eastAsia="仿宋" w:cs="仿宋" w:hint="eastAsia" w:ascii="仿宋" w:hAnsi="仿宋"/>
          <w:color w:val="000000"/>
          <w:sz w:val="32"/>
          <w:szCs w:val="32"/>
        </w:rPr>
        <w:t>1</w:t>
      </w:r>
      <w:r>
        <w:rPr>
          <w:rFonts w:ascii="仿宋" w:hAnsi="仿宋" w:cs="仿宋" w:hint="eastAsia" w:eastAsia="仿宋"/>
          <w:color w:val="000000"/>
          <w:sz w:val="32"/>
          <w:szCs w:val="32"/>
        </w:rPr>
        <w:t>月</w:t>
      </w:r>
      <w:r>
        <w:rPr>
          <w:rFonts w:eastAsia="仿宋" w:cs="仿宋" w:hint="eastAsia" w:ascii="仿宋" w:hAnsi="仿宋"/>
          <w:color w:val="000000"/>
          <w:sz w:val="32"/>
          <w:szCs w:val="32"/>
        </w:rPr>
        <w:t>1</w:t>
      </w:r>
      <w:r>
        <w:rPr>
          <w:rFonts w:ascii="仿宋" w:hAnsi="仿宋" w:cs="仿宋" w:hint="eastAsia" w:eastAsia="仿宋"/>
          <w:color w:val="000000"/>
          <w:sz w:val="32"/>
          <w:szCs w:val="32"/>
        </w:rPr>
        <w:t>日起施行。</w:t>
      </w:r>
    </w:p>
    <w:p>
      <w:pPr>
        <w:pStyle w:val="Normal"/>
        <w:keepNext w:val="false"/>
        <w:keepLines w:val="false"/>
        <w:pageBreakBefore w:val="false"/>
        <w:widowControl w:val="false"/>
        <w:kinsoku w:val="true"/>
        <w:overflowPunct w:val="true"/>
        <w:autoSpaceDE w:val="true"/>
        <w:bidi w:val="0"/>
        <w:snapToGrid w:val="true"/>
        <w:spacing w:lineRule="exact" w:line="570"/>
        <w:textAlignment w:val="auto"/>
        <w:rPr>
          <w:rFonts w:ascii="仿宋" w:hAnsi="仿宋" w:eastAsia="仿宋" w:cs="仿宋" w:hint="eastAsia"/>
          <w:color w:val="000000"/>
          <w:sz w:val="32"/>
          <w:szCs w:val="32"/>
        </w:rPr>
      </w:pPr>
      <w:r>
        <w:rPr>
          <w:rFonts w:eastAsia="仿宋" w:cs="仿宋" w:hint="eastAsia" w:ascii="仿宋" w:hAnsi="仿宋"/>
          <w:color w:val="000000"/>
          <w:sz w:val="32"/>
          <w:szCs w:val="32"/>
        </w:rPr>
      </w:r>
    </w:p>
    <w:sectPr>
      <w:footerReference w:type="even" r:id="rId2"/>
      <w:footerReference w:type="default" r:id="rId3"/>
      <w:type w:val="nextPage"/>
      <w:pgSz w:w="11906" w:h="16838"/>
      <w:pgMar w:left="1587" w:right="1474" w:gutter="0" w:header="0" w:top="1984" w:footer="1190" w:bottom="170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Calibri">
    <w:charset w:val="00" w:characterSet="windows-1252"/>
    <w:family w:val="auto"/>
    <w:pitch w:val="default"/>
  </w:font>
  <w:font w:name="楷体">
    <w:charset w:val="86"/>
    <w:family w:val="auto"/>
    <w:pitch w:val="default"/>
  </w:font>
  <w:font w:name="楷体_GB2312">
    <w:charset w:val="86"/>
    <w:family w:val="auto"/>
    <w:pitch w:val="default"/>
  </w:font>
  <w:font w:name="微软雅黑">
    <w:charset w:val="86"/>
    <w:family w:val="auto"/>
    <w:pitch w:val="default"/>
  </w:font>
  <w:font w:name="黑体">
    <w:charset w:val="86"/>
    <w:family w:val="auto"/>
    <w:pitch w:val="default"/>
  </w:font>
  <w:font w:name="仿宋">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0" w:start="0" w:endChars="0" w:end="0"/>
      <w:rPr/>
    </w:pPr>
    <w:r>
      <w:rPr/>
    </w:r>
    <w:r>
      <mc:AlternateContent>
        <mc:Choice Requires="wps">
          <w:drawing>
            <wp:anchor distT="0" distB="0" distL="0" distR="0" simplePos="0" relativeHeight="13" behindDoc="0" locked="0" layoutInCell="0" allowOverlap="1">
              <wp:simplePos x="0" y="0"/>
              <wp:positionH relativeFrom="margin">
                <wp:posOffset>-635</wp:posOffset>
              </wp:positionH>
              <wp:positionV relativeFrom="paragraph">
                <wp:posOffset>635</wp:posOffset>
              </wp:positionV>
              <wp:extent cx="296545" cy="302260"/>
              <wp:effectExtent l="0" t="0" r="0" b="0"/>
              <wp:wrapSquare wrapText="bothSides"/>
              <wp:docPr id="1" name="Frame2"/>
              <a:graphic xmlns:a="http://schemas.openxmlformats.org/drawingml/2006/main">
                <a:graphicData uri="http://schemas.microsoft.com/office/word/2010/wordprocessingShape">
                  <wps:wsp>
                    <wps:cNvSpPr txBox="1"/>
                    <wps:spPr>
                      <a:xfrm>
                        <a:off x="0" y="0"/>
                        <a:ext cx="296545" cy="302260"/>
                      </a:xfrm>
                      <a:prstGeom prst="rect"/>
                      <a:solidFill>
                        <a:srgbClr val="FFFFFF">
                          <a:alpha val="0"/>
                        </a:srgbClr>
                      </a:solidFill>
                    </wps:spPr>
                    <wps:txbx>
                      <w:txbxContent>
                        <w:p>
                          <w:pPr>
                            <w:pStyle w:val="Footer"/>
                            <w:pBdr/>
                            <w:spacing w:before="0" w:after="0"/>
                            <w:rPr>
                              <w:rFonts w:ascii="宋体" w:hAnsi="宋体" w:eastAsia="宋体" w:cs="宋体" w:hint="eastAsia"/>
                              <w:sz w:val="28"/>
                            </w:rPr>
                          </w:pPr>
                          <w:r>
                            <w:rPr>
                              <w:rStyle w:val="PageNumber"/>
                              <w:rFonts w:cs="宋体" w:hint="eastAsia" w:ascii="宋体" w:hAnsi="宋体"/>
                              <w:sz w:val="28"/>
                            </w:rPr>
                            <w:t xml:space="preserve">  </w:t>
                          </w:r>
                          <w:r>
                            <w:rPr>
                              <w:rFonts w:eastAsia="宋体" w:cs="宋体" w:hint="eastAsia" w:ascii="宋体" w:hAnsi="宋体"/>
                              <w:sz w:val="28"/>
                            </w:rPr>
                            <w:fldChar w:fldCharType="begin"/>
                          </w:r>
                          <w:r>
                            <w:rPr>
                              <w:rFonts w:eastAsia="宋体" w:cs="宋体" w:hint="eastAsia" w:ascii="宋体" w:hAnsi="宋体"/>
                              <w:sz w:val="28"/>
                            </w:rPr>
                            <w:instrText xml:space="preserve"> PAGE </w:instrText>
                          </w:r>
                          <w:r>
                            <w:rPr>
                              <w:rFonts w:eastAsia="宋体" w:cs="宋体" w:hint="eastAsia" w:ascii="宋体" w:hAnsi="宋体"/>
                              <w:sz w:val="28"/>
                            </w:rPr>
                            <w:fldChar w:fldCharType="separate"/>
                          </w:r>
                          <w:r>
                            <w:rPr>
                              <w:rFonts w:eastAsia="宋体" w:cs="宋体" w:hint="eastAsia" w:ascii="宋体" w:hAnsi="宋体"/>
                              <w:sz w:val="28"/>
                            </w:rPr>
                            <w:t>12</w:t>
                          </w:r>
                          <w:r>
                            <w:rPr>
                              <w:rFonts w:eastAsia="宋体" w:cs="宋体" w:hint="eastAsia" w:ascii="宋体" w:hAnsi="宋体"/>
                              <w:sz w:val="28"/>
                            </w:rPr>
                            <w:fldChar w:fldCharType="end"/>
                          </w:r>
                        </w:p>
                      </w:txbxContent>
                    </wps:txbx>
                    <wps:bodyPr anchor="t" lIns="0" tIns="0" rIns="0" bIns="0">
                      <a:noAutofit/>
                    </wps:bodyPr>
                  </wps:wsp>
                </a:graphicData>
              </a:graphic>
            </wp:anchor>
          </w:drawing>
        </mc:Choice>
        <mc:Fallback>
          <w:pict>
            <v:rect fillcolor="#FFFFFF" style="position:absolute;rotation:-0;width:23.35pt;height:23.8pt;mso-wrap-distance-left:0pt;mso-wrap-distance-right:0pt;mso-wrap-distance-top:0pt;mso-wrap-distance-bottom:0pt;margin-top:0pt;mso-position-vertical:top;mso-position-vertical-relative:text;margin-left:-0.05pt;mso-position-horizontal-relative:margin">
              <v:fill opacity="0f"/>
              <v:textbox inset="0in,0in,0in,0in">
                <w:txbxContent>
                  <w:p>
                    <w:pPr>
                      <w:pStyle w:val="Footer"/>
                      <w:pBdr/>
                      <w:spacing w:before="0" w:after="0"/>
                      <w:rPr>
                        <w:rFonts w:ascii="宋体" w:hAnsi="宋体" w:eastAsia="宋体" w:cs="宋体" w:hint="eastAsia"/>
                        <w:sz w:val="28"/>
                      </w:rPr>
                    </w:pPr>
                    <w:r>
                      <w:rPr>
                        <w:rStyle w:val="PageNumber"/>
                        <w:rFonts w:cs="宋体" w:hint="eastAsia" w:ascii="宋体" w:hAnsi="宋体"/>
                        <w:sz w:val="28"/>
                      </w:rPr>
                      <w:t xml:space="preserve">  </w:t>
                    </w:r>
                    <w:r>
                      <w:rPr>
                        <w:rFonts w:eastAsia="宋体" w:cs="宋体" w:hint="eastAsia" w:ascii="宋体" w:hAnsi="宋体"/>
                        <w:sz w:val="28"/>
                      </w:rPr>
                      <w:fldChar w:fldCharType="begin"/>
                    </w:r>
                    <w:r>
                      <w:rPr>
                        <w:rFonts w:eastAsia="宋体" w:cs="宋体" w:hint="eastAsia" w:ascii="宋体" w:hAnsi="宋体"/>
                        <w:sz w:val="28"/>
                      </w:rPr>
                      <w:instrText xml:space="preserve"> PAGE </w:instrText>
                    </w:r>
                    <w:r>
                      <w:rPr>
                        <w:rFonts w:eastAsia="宋体" w:cs="宋体" w:hint="eastAsia" w:ascii="宋体" w:hAnsi="宋体"/>
                        <w:sz w:val="28"/>
                      </w:rPr>
                      <w:fldChar w:fldCharType="separate"/>
                    </w:r>
                    <w:r>
                      <w:rPr>
                        <w:rFonts w:eastAsia="宋体" w:cs="宋体" w:hint="eastAsia" w:ascii="宋体" w:hAnsi="宋体"/>
                        <w:sz w:val="28"/>
                      </w:rPr>
                      <w:t>12</w:t>
                    </w:r>
                    <w:r>
                      <w:rPr>
                        <w:rFonts w:eastAsia="宋体" w:cs="宋体" w:hint="eastAsia" w:ascii="宋体" w:hAnsi="宋体"/>
                        <w:sz w:val="28"/>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0" w:start="0" w:endChars="0" w:end="0"/>
      <w:rPr/>
    </w:pPr>
    <w:r>
      <w:rPr/>
    </w:r>
    <w:r>
      <mc:AlternateContent>
        <mc:Choice Requires="wps">
          <w:drawing>
            <wp:anchor distT="0" distB="0" distL="0" distR="0" simplePos="0" relativeHeight="7" behindDoc="0" locked="0" layoutInCell="0" allowOverlap="1">
              <wp:simplePos x="0" y="0"/>
              <wp:positionH relativeFrom="margin">
                <wp:posOffset>-635</wp:posOffset>
              </wp:positionH>
              <wp:positionV relativeFrom="paragraph">
                <wp:posOffset>635</wp:posOffset>
              </wp:positionV>
              <wp:extent cx="2964180" cy="302260"/>
              <wp:effectExtent l="0" t="0" r="0" b="0"/>
              <wp:wrapSquare wrapText="bothSides"/>
              <wp:docPr id="2" name="Frame1"/>
              <a:graphic xmlns:a="http://schemas.openxmlformats.org/drawingml/2006/main">
                <a:graphicData uri="http://schemas.microsoft.com/office/word/2010/wordprocessingShape">
                  <wps:wsp>
                    <wps:cNvSpPr txBox="1"/>
                    <wps:spPr>
                      <a:xfrm>
                        <a:off x="0" y="0"/>
                        <a:ext cx="2964180" cy="302260"/>
                      </a:xfrm>
                      <a:prstGeom prst="rect"/>
                      <a:solidFill>
                        <a:srgbClr val="FFFFFF">
                          <a:alpha val="0"/>
                        </a:srgbClr>
                      </a:solidFill>
                    </wps:spPr>
                    <wps:txbx>
                      <w:txbxContent>
                        <w:p>
                          <w:pPr>
                            <w:pStyle w:val="Footer"/>
                            <w:pBdr/>
                            <w:spacing w:before="0" w:after="0"/>
                            <w:rPr/>
                          </w:pPr>
                          <w:r>
                            <w:rPr>
                              <w:rStyle w:val="PageNumber"/>
                              <w:rFonts w:cs="宋体" w:hint="eastAsia" w:ascii="宋体" w:hAnsi="宋体"/>
                              <w:sz w:val="28"/>
                            </w:rPr>
                            <w:t xml:space="preserve">                                                        </w:t>
                          </w:r>
                          <w:r>
                            <w:rPr>
                              <w:rFonts w:eastAsia="宋体" w:cs="宋体" w:hint="eastAsia" w:ascii="宋体" w:hAnsi="宋体"/>
                              <w:sz w:val="28"/>
                            </w:rPr>
                            <w:fldChar w:fldCharType="begin"/>
                          </w:r>
                          <w:r>
                            <w:rPr>
                              <w:rFonts w:eastAsia="宋体" w:cs="宋体" w:hint="eastAsia" w:ascii="宋体" w:hAnsi="宋体"/>
                              <w:sz w:val="28"/>
                            </w:rPr>
                            <w:instrText xml:space="preserve"> PAGE </w:instrText>
                          </w:r>
                          <w:r>
                            <w:rPr>
                              <w:rFonts w:eastAsia="宋体" w:cs="宋体" w:hint="eastAsia" w:ascii="宋体" w:hAnsi="宋体"/>
                              <w:sz w:val="28"/>
                            </w:rPr>
                            <w:fldChar w:fldCharType="separate"/>
                          </w:r>
                          <w:r>
                            <w:rPr>
                              <w:rFonts w:eastAsia="宋体" w:cs="宋体" w:hint="eastAsia" w:ascii="宋体" w:hAnsi="宋体"/>
                              <w:sz w:val="28"/>
                            </w:rPr>
                            <w:t>11</w:t>
                          </w:r>
                          <w:r>
                            <w:rPr>
                              <w:rFonts w:eastAsia="宋体" w:cs="宋体" w:hint="eastAsia" w:ascii="宋体" w:hAnsi="宋体"/>
                              <w:sz w:val="28"/>
                            </w:rPr>
                            <w:fldChar w:fldCharType="end"/>
                          </w:r>
                        </w:p>
                      </w:txbxContent>
                    </wps:txbx>
                    <wps:bodyPr anchor="t" lIns="0" tIns="0" rIns="0" bIns="0">
                      <a:noAutofit/>
                    </wps:bodyPr>
                  </wps:wsp>
                </a:graphicData>
              </a:graphic>
            </wp:anchor>
          </w:drawing>
        </mc:Choice>
        <mc:Fallback>
          <w:pict>
            <v:rect fillcolor="#FFFFFF" style="position:absolute;rotation:-0;width:233.4pt;height:23.8pt;mso-wrap-distance-left:0pt;mso-wrap-distance-right:0pt;mso-wrap-distance-top:0pt;mso-wrap-distance-bottom:0pt;margin-top:0pt;mso-position-vertical:top;mso-position-vertical-relative:text;margin-left:-0.05pt;mso-position-horizontal-relative:margin">
              <v:fill opacity="0f"/>
              <v:textbox inset="0in,0in,0in,0in">
                <w:txbxContent>
                  <w:p>
                    <w:pPr>
                      <w:pStyle w:val="Footer"/>
                      <w:pBdr/>
                      <w:spacing w:before="0" w:after="0"/>
                      <w:rPr/>
                    </w:pPr>
                    <w:r>
                      <w:rPr>
                        <w:rStyle w:val="PageNumber"/>
                        <w:rFonts w:cs="宋体" w:hint="eastAsia" w:ascii="宋体" w:hAnsi="宋体"/>
                        <w:sz w:val="28"/>
                      </w:rPr>
                      <w:t xml:space="preserve">                                                        </w:t>
                    </w:r>
                    <w:r>
                      <w:rPr>
                        <w:rFonts w:eastAsia="宋体" w:cs="宋体" w:hint="eastAsia" w:ascii="宋体" w:hAnsi="宋体"/>
                        <w:sz w:val="28"/>
                      </w:rPr>
                      <w:fldChar w:fldCharType="begin"/>
                    </w:r>
                    <w:r>
                      <w:rPr>
                        <w:rFonts w:eastAsia="宋体" w:cs="宋体" w:hint="eastAsia" w:ascii="宋体" w:hAnsi="宋体"/>
                        <w:sz w:val="28"/>
                      </w:rPr>
                      <w:instrText xml:space="preserve"> PAGE </w:instrText>
                    </w:r>
                    <w:r>
                      <w:rPr>
                        <w:rFonts w:eastAsia="宋体" w:cs="宋体" w:hint="eastAsia" w:ascii="宋体" w:hAnsi="宋体"/>
                        <w:sz w:val="28"/>
                      </w:rPr>
                      <w:fldChar w:fldCharType="separate"/>
                    </w:r>
                    <w:r>
                      <w:rPr>
                        <w:rFonts w:eastAsia="宋体" w:cs="宋体" w:hint="eastAsia" w:ascii="宋体" w:hAnsi="宋体"/>
                        <w:sz w:val="28"/>
                      </w:rPr>
                      <w:t>11</w:t>
                    </w:r>
                    <w:r>
                      <w:rPr>
                        <w:rFonts w:eastAsia="宋体" w:cs="宋体" w:hint="eastAsia" w:ascii="宋体" w:hAnsi="宋体"/>
                        <w:sz w:val="28"/>
                      </w:rPr>
                      <w:fldChar w:fldCharType="end"/>
                    </w:r>
                  </w:p>
                </w:txbxContent>
              </v:textbox>
              <w10:wrap type="square"/>
            </v:rect>
          </w:pict>
        </mc:Fallback>
      </mc:AlternateContent>
    </w:r>
  </w:p>
</w:ftr>
</file>

<file path=word/settings.xml><?xml version="1.0" encoding="utf-8"?>
<w:settings xmlns:w="http://schemas.openxmlformats.org/wordprocessingml/2006/main">
  <w:zoom w:percent="130"/>
  <w:defaultTabStop w:val="420"/>
  <w:autoHyphenation w:val="true"/>
  <w:hyphenationZone w:val="0"/>
  <w:evenAndOddHeaders/>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val="en-US" w:eastAsia="zh-CN" w:bidi="hi-IN"/>
    </w:rPr>
  </w:style>
  <w:style w:type="character" w:styleId="Style14">
    <w:name w:val="默认段落字体"/>
    <w:qFormat/>
    <w:rPr/>
  </w:style>
  <w:style w:type="character" w:styleId="New">
    <w:name w:val="要点 New"/>
    <w:basedOn w:val="Style14"/>
    <w:qFormat/>
    <w:rPr>
      <w:b/>
      <w:bCs/>
    </w:rPr>
  </w:style>
  <w:style w:type="character" w:styleId="CharChar">
    <w:name w:val="页脚 Char Char"/>
    <w:basedOn w:val="Style14"/>
    <w:qFormat/>
    <w:rPr>
      <w:sz w:val="18"/>
      <w:szCs w:val="18"/>
    </w:rPr>
  </w:style>
  <w:style w:type="character" w:styleId="CharChar1">
    <w:name w:val="页眉 Char Char"/>
    <w:basedOn w:val="Style14"/>
    <w:qFormat/>
    <w:rPr>
      <w:sz w:val="18"/>
      <w:szCs w:val="18"/>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NewNewNewNewNewNewNewNewNewNewNewNewNewNewNewNewNewNewNewNewNewNewNewNewNewNewNewNewNewNewNewNewNewNewNewNewNewNewNewNewNewNewNewNewNewNewNewNewNewNewNewNewNewNewNewNewNewNewNewNewNewNewNe">
    <w:name w:val="正文 New New New New New New New New New New New New New New New New New New New New New New New New New New New New New New New New New New New New New New New New New New New New New New New New New New New New New New New New New New New New New New Ne"/>
    <w:qFormat/>
    <w:pPr>
      <w:widowControl w:val="false"/>
      <w:bidi w:val="0"/>
      <w:jc w:val="both"/>
    </w:pPr>
    <w:rPr>
      <w:rFonts w:ascii="Times New Roman" w:hAnsi="Times New Roman" w:eastAsia="宋体" w:cs="Times New Roman"/>
      <w:color w:val="auto"/>
      <w:kern w:val="2"/>
      <w:sz w:val="21"/>
      <w:szCs w:val="24"/>
      <w:lang w:val="en-US" w:eastAsia="zh-CN" w:bidi="hi-IN"/>
    </w:rPr>
  </w:style>
  <w:style w:type="paragraph" w:styleId="NormalWeb">
    <w:name w:val="Normal (Web)"/>
    <w:basedOn w:val="NewNewNewNewNewNewNewNewNewNewNewNewNewNewNewNewNewNewNewNewNewNewNewNewNewNewNewNewNewNewNewNewNewNewNewNewNewNewNewNewNewNewNewNewNewNewNewNewNewNewNewNewNewNewNewNewNewNewNewNewNewNewNe"/>
    <w:qFormat/>
    <w:pPr>
      <w:widowControl/>
      <w:spacing w:before="280" w:after="280"/>
      <w:jc w:val="start"/>
    </w:pPr>
    <w:rPr>
      <w:rFonts w:ascii="宋体" w:hAnsi="宋体" w:cs="宋体"/>
      <w:kern w:val="0"/>
      <w:sz w:val="24"/>
    </w:rPr>
  </w:style>
  <w:style w:type="paragraph" w:styleId="CharCharCharCharCharCharCharCharCharCharCharCharCharCharCharChar">
    <w:name w:val="Char Char Char Char Char Char Char Char Char Char Char Char Char Char Char Char"/>
    <w:basedOn w:val="NewNewNewNewNewNewNewNewNewNewNewNewNewNewNewNewNewNewNewNewNewNewNewNewNewNewNewNewNewNewNewNewNewNewNewNewNewNewNewNewNewNewNewNewNewNewNewNewNewNewNewNewNewNewNewNewNewNewNewNewNewNewNe"/>
    <w:qFormat/>
    <w:pPr>
      <w:tabs>
        <w:tab w:val="clear" w:pos="420"/>
        <w:tab w:val="left" w:pos="360" w:leader="none"/>
      </w:tabs>
    </w:pPr>
    <w:rPr/>
  </w:style>
  <w:style w:type="paragraph" w:styleId="ListParagraph">
    <w:name w:val="List Paragraph"/>
    <w:basedOn w:val="NewNewNewNewNewNewNewNewNewNewNewNewNewNewNewNewNewNewNewNewNewNewNewNewNewNewNewNewNewNewNewNewNewNewNewNewNewNewNewNewNewNewNewNewNewNewNewNewNewNewNewNewNewNewNewNewNewNewNewNewNewNewNe"/>
    <w:qFormat/>
    <w:pPr>
      <w:ind w:firstLineChars="200" w:startChars="0" w:start="0" w:endChars="0" w:end="0"/>
    </w:pPr>
    <w:rPr>
      <w:rFonts w:ascii="Calibri" w:hAnsi="Calibri" w:cs="Calibri"/>
      <w:szCs w:val="22"/>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43200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2019-01-23T16:08:00Z</dcterms:created>
  <dc:creator>John</dc:creator>
  <dc:description/>
  <dc:language>en-US</dc:language>
  <cp:lastModifiedBy/>
  <dcterms:modified xsi:type="dcterms:W3CDTF">2020-05-12T10:05:58Z</dcterms:modified>
  <cp:revision>0</cp:revision>
  <dc:subject/>
  <dc:title>lenovo</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