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jc w:val="center"/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抚顺市人大常委会关于废止</w:t>
      </w:r>
    </w:p>
    <w:p>
      <w:pPr>
        <w:pStyle w:val="Normal"/>
        <w:jc w:val="center"/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《抚顺市社会治安综合治理条例》的决定</w:t>
      </w:r>
    </w:p>
    <w:p>
      <w:pPr>
        <w:pStyle w:val="Normal"/>
        <w:jc w:val="center"/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 w:before="0" w:after="0"/>
        <w:ind w:firstLineChars="0" w:firstLine="0" w:startChars="100" w:endChars="100"/>
        <w:jc w:val="both"/>
        <w:textAlignment w:val="auto"/>
        <w:rPr>
          <w:rFonts w:ascii="楷体_GB2312" w:hAnsi="楷体_GB2312" w:eastAsia="楷体_GB2312" w:cs="楷体_GB2312" w:hint="eastAsia"/>
          <w:sz w:val="32"/>
          <w:szCs w:val="32"/>
        </w:rPr>
      </w:pPr>
      <w:r>
        <w:rPr>
          <w:rFonts w:ascii="楷体_GB2312" w:hAnsi="楷体_GB2312" w:cs="楷体_GB2312" w:hint="eastAsia" w:eastAsia="楷体_GB2312"/>
          <w:sz w:val="32"/>
          <w:szCs w:val="32"/>
        </w:rPr>
        <w:t>（</w:t>
      </w:r>
      <w:r>
        <w:rPr>
          <w:rFonts w:eastAsia="楷体_GB2312" w:cs="楷体_GB2312" w:hint="eastAsia" w:ascii="楷体_GB2312" w:hAnsi="楷体_GB2312"/>
          <w:sz w:val="32"/>
          <w:szCs w:val="32"/>
        </w:rPr>
        <w:t>2021</w:t>
      </w:r>
      <w:r>
        <w:rPr>
          <w:rFonts w:ascii="楷体_GB2312" w:hAnsi="楷体_GB2312" w:cs="楷体_GB2312" w:hint="eastAsia" w:eastAsia="楷体_GB2312"/>
          <w:sz w:val="32"/>
          <w:szCs w:val="32"/>
        </w:rPr>
        <w:t>年</w:t>
      </w:r>
      <w:r>
        <w:rPr>
          <w:rFonts w:eastAsia="楷体_GB2312" w:cs="楷体_GB2312" w:hint="eastAsia" w:ascii="楷体_GB2312" w:hAnsi="楷体_GB2312"/>
          <w:sz w:val="32"/>
          <w:szCs w:val="32"/>
        </w:rPr>
        <w:t>4</w:t>
      </w:r>
      <w:r>
        <w:rPr>
          <w:rFonts w:ascii="楷体_GB2312" w:hAnsi="楷体_GB2312" w:cs="楷体_GB2312" w:hint="eastAsia" w:eastAsia="楷体_GB2312"/>
          <w:sz w:val="32"/>
          <w:szCs w:val="32"/>
        </w:rPr>
        <w:t>月</w:t>
      </w:r>
      <w:r>
        <w:rPr>
          <w:rFonts w:eastAsia="楷体_GB2312" w:cs="楷体_GB2312" w:hint="eastAsia" w:ascii="楷体_GB2312" w:hAnsi="楷体_GB2312"/>
          <w:sz w:val="32"/>
          <w:szCs w:val="32"/>
        </w:rPr>
        <w:t>27</w:t>
      </w:r>
      <w:r>
        <w:rPr>
          <w:rFonts w:ascii="楷体_GB2312" w:hAnsi="楷体_GB2312" w:cs="楷体_GB2312" w:hint="eastAsia" w:eastAsia="楷体_GB2312"/>
          <w:sz w:val="32"/>
          <w:szCs w:val="32"/>
        </w:rPr>
        <w:t xml:space="preserve">日抚顺市第十六届人民代表大会常务委员会第二十七次会议通过  </w:t>
      </w:r>
      <w:r>
        <w:rPr>
          <w:rFonts w:eastAsia="楷体_GB2312" w:cs="楷体_GB2312" w:hint="eastAsia" w:ascii="楷体_GB2312" w:hAnsi="楷体_GB2312"/>
          <w:sz w:val="32"/>
          <w:szCs w:val="32"/>
        </w:rPr>
        <w:t>2021</w:t>
      </w:r>
      <w:r>
        <w:rPr>
          <w:rFonts w:ascii="楷体_GB2312" w:hAnsi="楷体_GB2312" w:cs="楷体_GB2312" w:hint="eastAsia" w:eastAsia="楷体_GB2312"/>
          <w:sz w:val="32"/>
          <w:szCs w:val="32"/>
        </w:rPr>
        <w:t>年</w:t>
      </w:r>
      <w:r>
        <w:rPr>
          <w:rFonts w:eastAsia="楷体_GB2312" w:cs="楷体_GB2312" w:hint="eastAsia" w:ascii="楷体_GB2312" w:hAnsi="楷体_GB2312"/>
          <w:sz w:val="32"/>
          <w:szCs w:val="32"/>
        </w:rPr>
        <w:t>5</w:t>
      </w:r>
      <w:r>
        <w:rPr>
          <w:rFonts w:ascii="楷体_GB2312" w:hAnsi="楷体_GB2312" w:cs="楷体_GB2312" w:hint="eastAsia" w:eastAsia="楷体_GB2312"/>
          <w:sz w:val="32"/>
          <w:szCs w:val="32"/>
        </w:rPr>
        <w:t>月</w:t>
      </w:r>
      <w:r>
        <w:rPr>
          <w:rFonts w:eastAsia="楷体_GB2312" w:cs="楷体_GB2312" w:hint="eastAsia" w:ascii="楷体_GB2312" w:hAnsi="楷体_GB2312"/>
          <w:sz w:val="32"/>
          <w:szCs w:val="32"/>
        </w:rPr>
        <w:t>27</w:t>
      </w:r>
      <w:r>
        <w:rPr>
          <w:rFonts w:ascii="楷体_GB2312" w:hAnsi="楷体_GB2312" w:cs="楷体_GB2312" w:hint="eastAsia" w:eastAsia="楷体_GB2312"/>
          <w:sz w:val="32"/>
          <w:szCs w:val="32"/>
        </w:rPr>
        <w:t>日辽宁省第十三届人民代表大会常务委员会第二十六次会议批准）</w:t>
      </w:r>
    </w:p>
    <w:p>
      <w:pPr>
        <w:pStyle w:val="Normal"/>
        <w:jc w:val="both"/>
        <w:rPr>
          <w:rFonts w:ascii="宋体" w:hAnsi="宋体" w:eastAsia="宋体" w:cs="宋体" w:hint="eastAsia"/>
          <w:sz w:val="32"/>
          <w:szCs w:val="32"/>
        </w:rPr>
      </w:pPr>
      <w:r>
        <w:rPr>
          <w:rFonts w:eastAsia="宋体" w:cs="宋体" w:hint="eastAsia" w:ascii="宋体" w:hAnsi="宋体"/>
          <w:sz w:val="32"/>
          <w:szCs w:val="32"/>
        </w:rPr>
      </w:r>
    </w:p>
    <w:p>
      <w:pPr>
        <w:pStyle w:val="Normal"/>
        <w:ind w:firstLineChars="200" w:startChars="0" w:start="0" w:endChars="0" w:end="0"/>
        <w:jc w:val="both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ascii="仿宋_GB2312" w:hAnsi="仿宋_GB2312" w:cs="仿宋_GB2312" w:hint="eastAsia" w:eastAsia="仿宋_GB2312"/>
          <w:sz w:val="32"/>
          <w:szCs w:val="32"/>
        </w:rPr>
        <w:t>抚顺市第十六届人民代表大会常务委员会第二十七次会议经过审议，决定废止《抚顺市社会治安综合治理条例》。</w:t>
      </w:r>
    </w:p>
    <w:p>
      <w:pPr>
        <w:pStyle w:val="Normal"/>
        <w:ind w:firstLineChars="200" w:startChars="0" w:start="0" w:endChars="0" w:end="0"/>
        <w:jc w:val="both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ascii="仿宋_GB2312" w:hAnsi="仿宋_GB2312" w:cs="仿宋_GB2312" w:hint="eastAsia" w:eastAsia="仿宋_GB2312"/>
          <w:sz w:val="32"/>
          <w:szCs w:val="32"/>
        </w:rPr>
        <w:t>本决定自公布之日起生效。</w:t>
      </w:r>
    </w:p>
    <w:p>
      <w:pPr>
        <w:pStyle w:val="Normal"/>
        <w:jc w:val="both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eastAsia="仿宋_GB2312" w:cs="仿宋_GB2312" w:hint="eastAsia" w:ascii="仿宋_GB2312" w:hAnsi="仿宋_GB2312"/>
          <w:sz w:val="32"/>
          <w:szCs w:val="32"/>
        </w:rPr>
      </w:r>
    </w:p>
    <w:sectPr>
      <w:headerReference w:type="default" r:id="rId2"/>
      <w:footerReference w:type="default" r:id="rId3"/>
      <w:type w:val="nextPage"/>
      <w:pgSz w:w="11906" w:h="16838"/>
      <w:pgMar w:left="1587" w:right="1417" w:gutter="0" w:header="851" w:top="2098" w:footer="1616" w:bottom="1928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default"/>
  </w:font>
  <w:font w:name="Liberation Sans">
    <w:altName w:val="Arial"/>
    <w:charset w:val="01" w:characterSet="utf-8"/>
    <w:family w:val="swiss"/>
    <w:pitch w:val="variable"/>
  </w:font>
  <w:font w:name="Times New Roman">
    <w:charset w:val="00" w:characterSet="windows-1252"/>
    <w:family w:val="roman"/>
    <w:pitch w:val="default"/>
  </w:font>
  <w:font w:name="楷体_GB2312">
    <w:charset w:val="86"/>
    <w:family w:val="auto"/>
    <w:pitch w:val="default"/>
  </w:font>
  <w:font w:name="宋体">
    <w:charset w:val="86"/>
    <w:family w:val="auto"/>
    <w:pitch w:val="default"/>
  </w:font>
  <w:font w:name="仿宋_GB2312"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firstLineChars="0" w:firstLine="0" w:startChars="0" w:start="0" w:endChars="0" w:end="0"/>
      <w:rPr>
        <w:rFonts w:ascii="宋体" w:hAnsi="宋体" w:eastAsia="宋体" w:cs="宋体" w:hint="eastAsia"/>
        <w:sz w:val="28"/>
      </w:rPr>
    </w:pPr>
    <w:r>
      <w:rPr>
        <w:rFonts w:eastAsia="宋体" w:cs="宋体" w:hint="eastAsia" w:ascii="宋体" w:hAnsi="宋体"/>
        <w:sz w:val="28"/>
      </w:rPr>
    </w:r>
    <w:r>
      <mc:AlternateContent>
        <mc:Choice Requires="wps">
          <w:drawing>
            <wp:anchor distT="0" distB="0" distL="0" distR="0" simplePos="0" relativeHeight="2" behindDoc="0" locked="0" layoutInCell="0" allowOverlap="1">
              <wp:simplePos x="0" y="0"/>
              <wp:positionH relativeFrom="margin">
                <wp:align>left</wp:align>
              </wp:positionH>
              <wp:positionV relativeFrom="paragraph">
                <wp:posOffset>635</wp:posOffset>
              </wp:positionV>
              <wp:extent cx="2865120" cy="302260"/>
              <wp:effectExtent l="0" t="0" r="0" b="0"/>
              <wp:wrapSquare wrapText="bothSides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65120" cy="30226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pBdr/>
                            <w:spacing w:before="0" w:after="0"/>
                            <w:rPr>
                              <w:rFonts w:ascii="宋体" w:hAnsi="宋体" w:eastAsia="宋体" w:cs="宋体" w:hint="eastAsia"/>
                              <w:sz w:val="28"/>
                            </w:rPr>
                          </w:pPr>
                          <w:r>
                            <w:rPr>
                              <w:rStyle w:val="PageNumber"/>
                              <w:rFonts w:cs="宋体" w:hint="eastAsia" w:ascii="宋体" w:hAnsi="宋体"/>
                              <w:sz w:val="28"/>
                            </w:rPr>
                            <w:t xml:space="preserve">                                                        </w:t>
                          </w:r>
                          <w:r>
                            <w:rPr>
                              <w:rFonts w:eastAsia="宋体" w:cs="宋体" w:hint="eastAsia" w:ascii="宋体" w:hAnsi="宋体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eastAsia="宋体" w:cs="宋体" w:hint="eastAsia" w:ascii="宋体" w:hAnsi="宋体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rFonts w:eastAsia="宋体" w:cs="宋体" w:hint="eastAsia" w:ascii="宋体" w:hAnsi="宋体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eastAsia="宋体" w:cs="宋体" w:hint="eastAsia" w:ascii="宋体" w:hAnsi="宋体"/>
                              <w:sz w:val="28"/>
                            </w:rPr>
                            <w:t>1</w:t>
                          </w:r>
                          <w:r>
                            <w:rPr>
                              <w:rFonts w:eastAsia="宋体" w:cs="宋体" w:hint="eastAsia" w:ascii="宋体" w:hAnsi="宋体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225.6pt;height:23.8pt;mso-wrap-distance-left:0pt;mso-wrap-distance-right:0pt;mso-wrap-distance-top:0pt;mso-wrap-distance-bottom:0pt;margin-top:0pt;mso-position-vertical:top;mso-position-vertical-relative:text;margin-left:0pt;mso-position-horizontal:lef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pBdr/>
                      <w:spacing w:before="0" w:after="0"/>
                      <w:rPr>
                        <w:rFonts w:ascii="宋体" w:hAnsi="宋体" w:eastAsia="宋体" w:cs="宋体" w:hint="eastAsia"/>
                        <w:sz w:val="28"/>
                      </w:rPr>
                    </w:pPr>
                    <w:r>
                      <w:rPr>
                        <w:rStyle w:val="PageNumber"/>
                        <w:rFonts w:cs="宋体" w:hint="eastAsia" w:ascii="宋体" w:hAnsi="宋体"/>
                        <w:sz w:val="28"/>
                      </w:rPr>
                      <w:t xml:space="preserve">                                                        </w:t>
                    </w:r>
                    <w:r>
                      <w:rPr>
                        <w:rFonts w:eastAsia="宋体" w:cs="宋体" w:hint="eastAsia" w:ascii="宋体" w:hAnsi="宋体"/>
                        <w:sz w:val="28"/>
                      </w:rPr>
                      <w:fldChar w:fldCharType="begin"/>
                    </w:r>
                    <w:r>
                      <w:rPr>
                        <w:rFonts w:eastAsia="宋体" w:cs="宋体" w:hint="eastAsia" w:ascii="宋体" w:hAnsi="宋体"/>
                        <w:sz w:val="28"/>
                      </w:rPr>
                      <w:instrText xml:space="preserve"> PAGE </w:instrText>
                    </w:r>
                    <w:r>
                      <w:rPr>
                        <w:rFonts w:eastAsia="宋体" w:cs="宋体" w:hint="eastAsia" w:ascii="宋体" w:hAnsi="宋体"/>
                        <w:sz w:val="28"/>
                      </w:rPr>
                      <w:fldChar w:fldCharType="separate"/>
                    </w:r>
                    <w:r>
                      <w:rPr>
                        <w:rFonts w:eastAsia="宋体" w:cs="宋体" w:hint="eastAsia" w:ascii="宋体" w:hAnsi="宋体"/>
                        <w:sz w:val="28"/>
                      </w:rPr>
                      <w:t>1</w:t>
                    </w:r>
                    <w:r>
                      <w:rPr>
                        <w:rFonts w:eastAsia="宋体" w:cs="宋体" w:hint="eastAsia" w:ascii="宋体" w:hAnsi="宋体"/>
                        <w:sz w:val="28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90"/>
  <w:defaultTabStop w:val="420"/>
  <w:autoHyphenation w:val="true"/>
  <w:hyphenationZone w:val="0"/>
  <w:compat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宋体" w:cs="黑体"/>
      <w:color w:val="auto"/>
      <w:kern w:val="2"/>
      <w:sz w:val="21"/>
      <w:szCs w:val="24"/>
      <w:lang w:val="en-US" w:eastAsia="zh-CN" w:bidi="hi-IN"/>
    </w:rPr>
  </w:style>
  <w:style w:type="character" w:styleId="Style14">
    <w:name w:val="默认段落字体"/>
    <w:qFormat/>
    <w:rPr/>
  </w:style>
  <w:style w:type="character" w:styleId="PageNumber">
    <w:name w:val="page number"/>
    <w:basedOn w:val="Style14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</w:rPr>
  </w:style>
  <w:style w:type="paragraph" w:styleId="Header">
    <w:name w:val="header"/>
    <w:basedOn w:val="Normal"/>
    <w:pPr>
      <w:pBdr/>
      <w:tabs>
        <w:tab w:val="clear" w:pos="420"/>
        <w:tab w:val="center" w:pos="4153" w:leader="none"/>
        <w:tab w:val="right" w:pos="8306" w:leader="none"/>
      </w:tabs>
      <w:snapToGrid w:val="false"/>
      <w:spacing w:lineRule="auto" w:line="240"/>
      <w:jc w:val="both"/>
    </w:pPr>
    <w:rPr>
      <w:rFonts w:ascii="Times New Roman" w:hAnsi="Times New Roman" w:cs="Times New Roman"/>
      <w:sz w:val="18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27360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2019-09-18T09:57:00Z</dcterms:created>
  <dc:creator>biology</dc:creator>
  <dc:description/>
  <dc:language>en-US</dc:language>
  <cp:lastModifiedBy>湖人进季后赛了吗</cp:lastModifiedBy>
  <dcterms:modified xsi:type="dcterms:W3CDTF">2021-08-11T16:26:44Z</dcterms:modified>
  <cp:revision>1</cp:revision>
  <dc:subject/>
  <dc:title>biology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225891053B1B40258F9920EEAB80FE86</vt:lpwstr>
  </property>
  <property fmtid="{D5CDD505-2E9C-101B-9397-08002B2CF9AE}" pid="3" name="KSOProductBuildVer">
    <vt:lpwstr>2052-11.1.0.10700</vt:lpwstr>
  </property>
</Properties>
</file>