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32"/>
          <w:szCs w:val="44"/>
        </w:rPr>
      </w:pPr>
      <w:r>
        <w:rPr>
          <w:rFonts w:cs="宋体" w:hint="eastAsia" w:ascii="宋体" w:hAnsi="宋体"/>
          <w:kern w:val="0"/>
          <w:sz w:val="32"/>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宋体" w:hAnsi="宋体" w:cs="宋体" w:hint="eastAsia"/>
          <w:kern w:val="0"/>
          <w:sz w:val="32"/>
          <w:szCs w:val="44"/>
        </w:rPr>
      </w:pPr>
      <w:r>
        <w:rPr>
          <w:rFonts w:cs="宋体" w:hint="eastAsia" w:ascii="宋体" w:hAnsi="宋体"/>
          <w:kern w:val="0"/>
          <w:sz w:val="32"/>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jc w:val="center"/>
        <w:textAlignment w:val="auto"/>
        <w:rPr>
          <w:rFonts w:ascii="楷体" w:hAnsi="楷体" w:eastAsia="楷体" w:cs="楷体" w:hint="eastAsia"/>
          <w:kern w:val="0"/>
          <w:sz w:val="32"/>
          <w:szCs w:val="32"/>
        </w:rPr>
      </w:pPr>
      <w:r>
        <w:rPr>
          <w:rFonts w:ascii="宋体" w:hAnsi="宋体" w:cs="宋体" w:hint="eastAsia"/>
          <w:b/>
          <w:bCs/>
          <w:kern w:val="0"/>
          <w:sz w:val="44"/>
          <w:szCs w:val="44"/>
        </w:rPr>
        <w:t>抚顺市促进旅游产业发展条例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300" w:endChars="300"/>
        <w:textAlignment w:val="auto"/>
        <w:rPr>
          <w:rFonts w:ascii="宋体" w:hAnsi="宋体" w:eastAsia="楷体" w:cs="宋体" w:hint="eastAsia"/>
          <w:kern w:val="0"/>
          <w:sz w:val="32"/>
          <w:szCs w:val="32"/>
        </w:rPr>
      </w:pPr>
      <w:r>
        <w:rPr>
          <w:rFonts w:eastAsia="楷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00" w:endChars="0" w:end="0"/>
        <w:jc w:val="start"/>
        <w:textAlignment w:val="auto"/>
        <w:rPr>
          <w:rFonts w:ascii="楷体" w:hAnsi="楷体" w:eastAsia="楷体" w:cs="楷体" w:hint="eastAsia"/>
          <w:kern w:val="0"/>
          <w:sz w:val="32"/>
          <w:szCs w:val="32"/>
        </w:rPr>
      </w:pPr>
      <w:r>
        <w:rPr>
          <w:rFonts w:ascii="楷体" w:hAnsi="楷体" w:cs="楷体" w:hint="eastAsia" w:eastAsia="楷体"/>
          <w:kern w:val="0"/>
          <w:sz w:val="32"/>
        </w:rPr>
        <w:t>（</w:t>
      </w:r>
      <w:r>
        <w:rPr>
          <w:rFonts w:eastAsia="楷体" w:cs="楷体" w:hint="eastAsia" w:ascii="楷体" w:hAnsi="楷体"/>
          <w:kern w:val="0"/>
          <w:sz w:val="32"/>
        </w:rPr>
        <w:t>2009</w:t>
      </w:r>
      <w:r>
        <w:rPr>
          <w:rFonts w:ascii="楷体" w:hAnsi="楷体" w:cs="楷体" w:hint="eastAsia" w:eastAsia="楷体"/>
          <w:kern w:val="0"/>
          <w:sz w:val="32"/>
        </w:rPr>
        <w:t>年</w:t>
      </w:r>
      <w:r>
        <w:rPr>
          <w:rFonts w:eastAsia="楷体" w:cs="楷体" w:hint="eastAsia" w:ascii="楷体" w:hAnsi="楷体"/>
          <w:kern w:val="0"/>
          <w:sz w:val="32"/>
        </w:rPr>
        <w:t>10</w:t>
      </w:r>
      <w:r>
        <w:rPr>
          <w:rFonts w:ascii="楷体" w:hAnsi="楷体" w:cs="楷体" w:hint="eastAsia" w:eastAsia="楷体"/>
          <w:kern w:val="0"/>
          <w:sz w:val="32"/>
        </w:rPr>
        <w:t>月</w:t>
      </w:r>
      <w:r>
        <w:rPr>
          <w:rFonts w:eastAsia="楷体" w:cs="楷体" w:hint="eastAsia" w:ascii="楷体" w:hAnsi="楷体"/>
          <w:kern w:val="0"/>
          <w:sz w:val="32"/>
        </w:rPr>
        <w:t>29</w:t>
      </w:r>
      <w:r>
        <w:rPr>
          <w:rFonts w:ascii="楷体" w:hAnsi="楷体" w:cs="楷体" w:hint="eastAsia" w:eastAsia="楷体"/>
          <w:kern w:val="0"/>
          <w:sz w:val="32"/>
        </w:rPr>
        <w:t>日抚顺市第十四届人民代表大会常务委员会第十一次会议通过，</w:t>
      </w:r>
      <w:r>
        <w:rPr>
          <w:rFonts w:eastAsia="楷体" w:cs="楷体" w:hint="eastAsia" w:ascii="楷体" w:hAnsi="楷体"/>
          <w:kern w:val="0"/>
          <w:sz w:val="32"/>
        </w:rPr>
        <w:t>2009</w:t>
      </w:r>
      <w:r>
        <w:rPr>
          <w:rFonts w:ascii="楷体" w:hAnsi="楷体" w:cs="楷体" w:hint="eastAsia" w:eastAsia="楷体"/>
          <w:kern w:val="0"/>
          <w:sz w:val="32"/>
        </w:rPr>
        <w:t>年</w:t>
      </w:r>
      <w:r>
        <w:rPr>
          <w:rFonts w:eastAsia="楷体" w:cs="楷体" w:hint="eastAsia" w:ascii="楷体" w:hAnsi="楷体"/>
          <w:kern w:val="0"/>
          <w:sz w:val="32"/>
        </w:rPr>
        <w:t>11</w:t>
      </w:r>
      <w:r>
        <w:rPr>
          <w:rFonts w:ascii="楷体" w:hAnsi="楷体" w:cs="楷体" w:hint="eastAsia" w:eastAsia="楷体"/>
          <w:kern w:val="0"/>
          <w:sz w:val="32"/>
        </w:rPr>
        <w:t>月</w:t>
      </w:r>
      <w:r>
        <w:rPr>
          <w:rFonts w:eastAsia="楷体" w:cs="楷体" w:hint="eastAsia" w:ascii="楷体" w:hAnsi="楷体"/>
          <w:kern w:val="0"/>
          <w:sz w:val="32"/>
        </w:rPr>
        <w:t>27</w:t>
      </w:r>
      <w:r>
        <w:rPr>
          <w:rFonts w:ascii="楷体" w:hAnsi="楷体" w:cs="楷体" w:hint="eastAsia" w:eastAsia="楷体"/>
          <w:kern w:val="0"/>
          <w:sz w:val="32"/>
        </w:rPr>
        <w:t>日辽宁省第十一届人民代表大会常务委员会第十三次会议批准；根据</w:t>
      </w:r>
      <w:r>
        <w:rPr>
          <w:rFonts w:eastAsia="楷体" w:cs="楷体" w:hint="eastAsia" w:ascii="楷体" w:hAnsi="楷体"/>
          <w:kern w:val="0"/>
          <w:sz w:val="32"/>
        </w:rPr>
        <w:t>2020</w:t>
      </w:r>
      <w:r>
        <w:rPr>
          <w:rFonts w:ascii="楷体" w:hAnsi="楷体" w:cs="楷体" w:hint="eastAsia" w:eastAsia="楷体"/>
          <w:kern w:val="0"/>
          <w:sz w:val="32"/>
        </w:rPr>
        <w:t>年</w:t>
      </w:r>
      <w:r>
        <w:rPr>
          <w:rFonts w:eastAsia="楷体" w:cs="楷体" w:hint="eastAsia" w:ascii="楷体" w:hAnsi="楷体"/>
          <w:kern w:val="0"/>
          <w:sz w:val="32"/>
        </w:rPr>
        <w:t>6</w:t>
      </w:r>
      <w:r>
        <w:rPr>
          <w:rFonts w:ascii="楷体" w:hAnsi="楷体" w:cs="楷体" w:hint="eastAsia" w:eastAsia="楷体"/>
          <w:kern w:val="0"/>
          <w:sz w:val="32"/>
        </w:rPr>
        <w:t>月</w:t>
      </w:r>
      <w:r>
        <w:rPr>
          <w:rFonts w:eastAsia="楷体" w:cs="楷体" w:hint="eastAsia" w:ascii="楷体" w:hAnsi="楷体"/>
          <w:kern w:val="0"/>
          <w:sz w:val="32"/>
        </w:rPr>
        <w:t>23</w:t>
      </w:r>
      <w:r>
        <w:rPr>
          <w:rFonts w:ascii="楷体" w:hAnsi="楷体" w:cs="楷体" w:hint="eastAsia" w:eastAsia="楷体"/>
          <w:kern w:val="0"/>
          <w:sz w:val="32"/>
        </w:rPr>
        <w:t>日抚顺市第十六届人民代表大会常务委员会第二十次会议通过，</w:t>
      </w:r>
      <w:r>
        <w:rPr>
          <w:rFonts w:eastAsia="楷体" w:cs="楷体" w:hint="eastAsia" w:ascii="楷体" w:hAnsi="楷体"/>
          <w:kern w:val="0"/>
          <w:sz w:val="32"/>
        </w:rPr>
        <w:t>2020</w:t>
      </w:r>
      <w:r>
        <w:rPr>
          <w:rFonts w:ascii="楷体" w:hAnsi="楷体" w:cs="楷体" w:hint="eastAsia" w:eastAsia="楷体"/>
          <w:kern w:val="0"/>
          <w:sz w:val="32"/>
        </w:rPr>
        <w:t>年</w:t>
      </w:r>
      <w:r>
        <w:rPr>
          <w:rFonts w:eastAsia="楷体" w:cs="楷体" w:hint="eastAsia" w:ascii="楷体" w:hAnsi="楷体"/>
          <w:kern w:val="0"/>
          <w:sz w:val="32"/>
        </w:rPr>
        <w:t>8</w:t>
      </w:r>
      <w:r>
        <w:rPr>
          <w:rFonts w:ascii="楷体" w:hAnsi="楷体" w:cs="楷体" w:hint="eastAsia" w:eastAsia="楷体"/>
          <w:kern w:val="0"/>
          <w:sz w:val="32"/>
        </w:rPr>
        <w:t>月</w:t>
      </w:r>
      <w:r>
        <w:rPr>
          <w:rFonts w:eastAsia="楷体" w:cs="楷体" w:hint="eastAsia" w:ascii="楷体" w:hAnsi="楷体"/>
          <w:kern w:val="0"/>
          <w:sz w:val="32"/>
        </w:rPr>
        <w:t>5</w:t>
      </w:r>
      <w:r>
        <w:rPr>
          <w:rFonts w:ascii="楷体" w:hAnsi="楷体" w:cs="楷体" w:hint="eastAsia" w:eastAsia="楷体"/>
          <w:kern w:val="0"/>
          <w:sz w:val="32"/>
        </w:rPr>
        <w:t>日辽宁省第十三届人民代表大会常务委员会第二十次会议批准的《抚顺市人大常委会关于修改〈抚顺市促进旅游产业发展条例〉的决定》修正）</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textAlignment w:val="auto"/>
        <w:rPr>
          <w:rFonts w:ascii="仿宋" w:hAnsi="仿宋" w:eastAsia="仿宋" w:cs="仿宋" w:hint="eastAsia"/>
          <w:kern w:val="0"/>
          <w:sz w:val="32"/>
          <w:szCs w:val="32"/>
        </w:rPr>
      </w:pPr>
      <w:r>
        <w:rPr>
          <w:rFonts w:eastAsia="仿宋" w:cs="仿宋" w:hint="eastAsia" w:ascii="仿宋" w:hAnsi="仿宋"/>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第一条  </w:t>
      </w:r>
      <w:r>
        <w:rPr>
          <w:rFonts w:ascii="仿宋" w:hAnsi="仿宋" w:cs="仿宋" w:hint="eastAsia" w:eastAsia="仿宋"/>
          <w:kern w:val="0"/>
          <w:sz w:val="32"/>
          <w:szCs w:val="32"/>
        </w:rPr>
        <w:t xml:space="preserve">为促进旅游产业的发展，有效保护、合理开发利用旅游资源，规范旅游市场秩序，保障旅游者和旅游经营者的合法权益，根据有关法律、法规，结合本市实际，制定本条例。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textAlignment w:val="auto"/>
        <w:rPr>
          <w:rFonts w:ascii="仿宋" w:hAnsi="仿宋" w:eastAsia="仿宋" w:cs="仿宋"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第二条</w:t>
      </w:r>
      <w:r>
        <w:rPr>
          <w:rFonts w:ascii="仿宋" w:hAnsi="仿宋" w:cs="仿宋" w:hint="eastAsia" w:eastAsia="仿宋"/>
          <w:kern w:val="0"/>
          <w:sz w:val="32"/>
          <w:szCs w:val="32"/>
        </w:rPr>
        <w:t xml:space="preserve">  在本市行政区域内从事旅游规划、开发、经营以及实施旅游监督管理的，均应当遵守本条例。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64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第三条  </w:t>
      </w:r>
      <w:r>
        <w:rPr>
          <w:rFonts w:ascii="仿宋" w:hAnsi="仿宋" w:cs="仿宋" w:hint="eastAsia" w:eastAsia="仿宋"/>
          <w:kern w:val="0"/>
          <w:sz w:val="32"/>
          <w:szCs w:val="32"/>
        </w:rPr>
        <w:t>发展旅游产业实行政府推动、企业为主、社会参与、市场运作、行业自律的原则，坚持经济效益、社会效益和生态效益相统一。</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第四条  </w:t>
      </w:r>
      <w:r>
        <w:rPr>
          <w:rFonts w:ascii="仿宋" w:hAnsi="仿宋" w:cs="仿宋" w:hint="eastAsia" w:eastAsia="仿宋"/>
          <w:kern w:val="0"/>
          <w:sz w:val="32"/>
          <w:szCs w:val="32"/>
        </w:rPr>
        <w:t>市旅游行政管理部门负责本行政区域旅游产业发展的指导和监督管理工作。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仿宋" w:hAnsi="仿宋" w:cs="仿宋" w:hint="eastAsia" w:eastAsia="仿宋"/>
          <w:kern w:val="0"/>
          <w:sz w:val="32"/>
          <w:szCs w:val="32"/>
        </w:rPr>
        <w:t>县（区）旅游行政管理部门负责本辖区内的旅游管理工作。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黑体" w:hAnsi="黑体" w:eastAsia="黑体" w:cs="黑体"/>
          <w:kern w:val="0"/>
          <w:sz w:val="32"/>
          <w:szCs w:val="32"/>
        </w:rPr>
      </w:pPr>
      <w:r>
        <w:rPr>
          <w:rFonts w:ascii="仿宋" w:hAnsi="仿宋" w:cs="仿宋" w:hint="eastAsia" w:eastAsia="仿宋"/>
          <w:kern w:val="0"/>
          <w:sz w:val="32"/>
          <w:szCs w:val="32"/>
        </w:rPr>
        <w:t>相关行政管理部门应当在各自职责范围内做好促进旅游产业发展的相关工作。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第五条  </w:t>
      </w:r>
      <w:r>
        <w:rPr>
          <w:rFonts w:ascii="仿宋" w:hAnsi="仿宋" w:cs="仿宋" w:hint="eastAsia" w:eastAsia="仿宋"/>
          <w:kern w:val="0"/>
          <w:sz w:val="32"/>
          <w:szCs w:val="32"/>
        </w:rPr>
        <w:t>市、县（区）人民政府应当将旅游产业的发展纳入国民经济和社会发展规划，制定引导、扶持旅游产业发展的政策、措施，建设与旅游产业配套的基础设施，提高旅游景区（点）的品位，改善旅游环境。</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黑体" w:hAnsi="黑体" w:eastAsia="黑体" w:cs="黑体"/>
          <w:kern w:val="0"/>
          <w:sz w:val="32"/>
          <w:szCs w:val="32"/>
        </w:rPr>
      </w:pPr>
      <w:r>
        <w:rPr>
          <w:rFonts w:ascii="仿宋" w:hAnsi="仿宋" w:cs="仿宋" w:hint="eastAsia" w:eastAsia="仿宋"/>
          <w:kern w:val="0"/>
          <w:sz w:val="32"/>
          <w:szCs w:val="32"/>
        </w:rPr>
        <w:t>市、县（区）人民政府应当建立健全旅游业发展市场综合协调机制，完善统一的旅游市场监管联动机制和信息反馈机制，统筹解决旅游发展和管理中的重大问题。</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第六条  </w:t>
      </w:r>
      <w:r>
        <w:rPr>
          <w:rFonts w:ascii="仿宋" w:hAnsi="仿宋" w:cs="仿宋" w:hint="eastAsia" w:eastAsia="仿宋"/>
          <w:kern w:val="0"/>
          <w:sz w:val="32"/>
          <w:szCs w:val="32"/>
        </w:rPr>
        <w:t>市、县（区）旅游行政管理部门会同有关部门编制本行政区域内的旅游发展规划。规划经征求上一级旅游行政管理部门意见后，报同级人民政府批准后组织实施。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黑体" w:hAnsi="黑体" w:eastAsia="黑体" w:cs="黑体"/>
          <w:kern w:val="0"/>
          <w:sz w:val="32"/>
          <w:szCs w:val="32"/>
        </w:rPr>
      </w:pPr>
      <w:r>
        <w:rPr>
          <w:rFonts w:ascii="仿宋" w:hAnsi="仿宋" w:cs="仿宋" w:hint="eastAsia" w:eastAsia="仿宋"/>
          <w:kern w:val="0"/>
          <w:sz w:val="32"/>
          <w:szCs w:val="32"/>
        </w:rPr>
        <w:t>旅游发展规划应当符合城市总体规划和土地利用总体规划，符合环境和资源保护方面的法律、法规要求，与自然生态保护区、文物保护区、风景名胜区等规划相协调。</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第七条  </w:t>
      </w:r>
      <w:r>
        <w:rPr>
          <w:rFonts w:ascii="仿宋" w:hAnsi="仿宋" w:cs="仿宋" w:hint="eastAsia" w:eastAsia="仿宋"/>
          <w:kern w:val="0"/>
          <w:sz w:val="32"/>
          <w:szCs w:val="32"/>
        </w:rPr>
        <w:t>旅游发展规划应当突出地方特色，将具有旅游价值的自然资源、文化古迹、工业设施、工业遗产、城市建筑、乡村旅游资源等列入旅游发展规划编制，加强红色旅游景区、冰雪、工业、生态旅游项目开发建设。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黑体" w:hAnsi="黑体" w:eastAsia="黑体" w:cs="黑体"/>
          <w:kern w:val="0"/>
          <w:sz w:val="32"/>
          <w:szCs w:val="32"/>
        </w:rPr>
      </w:pPr>
      <w:r>
        <w:rPr>
          <w:rFonts w:ascii="仿宋" w:hAnsi="仿宋" w:cs="仿宋" w:hint="eastAsia" w:eastAsia="仿宋"/>
          <w:kern w:val="0"/>
          <w:sz w:val="32"/>
          <w:szCs w:val="32"/>
        </w:rPr>
        <w:t>列入旅游发展规划的待开发旅游资源，任何单位和个人不得擅自开发和占用，相关部门应当设置标志，并划定保护范围。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第八条  </w:t>
      </w:r>
      <w:r>
        <w:rPr>
          <w:rFonts w:ascii="仿宋" w:hAnsi="仿宋" w:cs="仿宋" w:hint="eastAsia" w:eastAsia="仿宋"/>
          <w:kern w:val="0"/>
          <w:sz w:val="32"/>
          <w:szCs w:val="32"/>
        </w:rPr>
        <w:t>对具有明显旅游功能的区域，在其控制性详细规划编制阶段，组织编制单位应当征求旅游行政管理部门的意见。</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黑体" w:hAnsi="黑体" w:eastAsia="黑体" w:cs="黑体"/>
          <w:kern w:val="0"/>
          <w:sz w:val="32"/>
          <w:szCs w:val="32"/>
        </w:rPr>
      </w:pPr>
      <w:r>
        <w:rPr>
          <w:rFonts w:ascii="仿宋" w:hAnsi="仿宋" w:cs="仿宋" w:hint="eastAsia" w:eastAsia="仿宋"/>
          <w:kern w:val="0"/>
          <w:sz w:val="32"/>
          <w:szCs w:val="32"/>
        </w:rPr>
        <w:t>对具有明显旅游价值、功能的城市标志性建筑、步行街、历史文化景点、大型主题公园以及旅游景区（点）、宾馆饭店等建设项目编制修建性详细规划时，组织编制单位应当征求市、县（区）旅游行政管理部门的意见。</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第九条  </w:t>
      </w:r>
      <w:r>
        <w:rPr>
          <w:rFonts w:ascii="仿宋" w:hAnsi="仿宋" w:cs="仿宋" w:hint="eastAsia" w:eastAsia="仿宋"/>
          <w:kern w:val="0"/>
          <w:sz w:val="32"/>
          <w:szCs w:val="32"/>
        </w:rPr>
        <w:t>市、县（区）人民政府应当设立旅游产业发展专项资金，列入年度财政预算。旅游产业发展专项资金用于城市旅游形象宣传、智慧旅游和信息化建设、旅游公共设施完善、重点旅游项目和引客入抚奖励和补助、旅游发展规划编制、旅游从业人员培训和重大旅游促进活动的组织等。</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第十条  </w:t>
      </w:r>
      <w:r>
        <w:rPr>
          <w:rFonts w:ascii="仿宋" w:hAnsi="仿宋" w:cs="仿宋" w:hint="eastAsia" w:eastAsia="仿宋"/>
          <w:kern w:val="0"/>
          <w:sz w:val="32"/>
          <w:szCs w:val="32"/>
        </w:rPr>
        <w:t>鼓励国内外投资者依法投资建设旅游景区（点）、旅游基础设施和服务设施，经营旅游产业。对符合国家旅游产业政策的旅游开发建设项目，市、县（区）人民政府给予相关的政策扶持。</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仿宋" w:hAnsi="仿宋" w:cs="仿宋" w:hint="eastAsia" w:eastAsia="仿宋"/>
          <w:kern w:val="0"/>
          <w:sz w:val="32"/>
          <w:szCs w:val="32"/>
        </w:rPr>
        <w:t>鼓励旅游经营者创新经营体制和经营模式，促进旅游资源的有效开发和利用。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黑体" w:hAnsi="黑体" w:eastAsia="黑体" w:cs="黑体"/>
          <w:kern w:val="0"/>
          <w:sz w:val="32"/>
          <w:szCs w:val="32"/>
        </w:rPr>
      </w:pPr>
      <w:r>
        <w:rPr>
          <w:rFonts w:ascii="仿宋" w:hAnsi="仿宋" w:cs="仿宋" w:hint="eastAsia" w:eastAsia="仿宋"/>
          <w:kern w:val="0"/>
          <w:sz w:val="32"/>
          <w:szCs w:val="32"/>
        </w:rPr>
        <w:t>推进国有旅游资源改革，提高项目收益率。依法实行国有旅游资源所有权、管理权和经营权的分置管理。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第十一条  </w:t>
      </w:r>
      <w:r>
        <w:rPr>
          <w:rFonts w:ascii="仿宋" w:hAnsi="仿宋" w:cs="仿宋" w:hint="eastAsia" w:eastAsia="仿宋"/>
          <w:kern w:val="0"/>
          <w:sz w:val="32"/>
          <w:szCs w:val="32"/>
        </w:rPr>
        <w:t>鼓励域内外旅行社经营本市旅游线路；支持域内旅行社创新经营模式，扩大经营规模，在域外开设分社。对扩大本市客源市场的域内外旅行社给予奖励，具体奖励办法由市人民政府另行制定。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黑体" w:hAnsi="黑体" w:eastAsia="仿宋" w:cs="黑体" w:hint="eastAsia"/>
          <w:kern w:val="0"/>
          <w:sz w:val="32"/>
          <w:szCs w:val="32"/>
        </w:rPr>
      </w:pPr>
      <w:r>
        <w:rPr>
          <w:rFonts w:ascii="仿宋" w:hAnsi="仿宋" w:cs="仿宋" w:hint="eastAsia" w:eastAsia="仿宋"/>
          <w:kern w:val="0"/>
          <w:sz w:val="32"/>
          <w:szCs w:val="32"/>
        </w:rPr>
        <w:t xml:space="preserve">国家机关、事业单位和社会团体可以按照国家有关规定，将公务活动中的会务、交通、住宿、餐饮等事务委托旅行社办理。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第十二条  </w:t>
      </w:r>
      <w:r>
        <w:rPr>
          <w:rFonts w:ascii="仿宋" w:hAnsi="仿宋" w:cs="仿宋" w:hint="eastAsia" w:eastAsia="仿宋"/>
          <w:kern w:val="0"/>
          <w:sz w:val="32"/>
          <w:szCs w:val="32"/>
        </w:rPr>
        <w:t>鼓励和扶持具有本市地方特色的旅游纪念品、工艺品、旅游用品、土特产品等旅游商品的研制、开发、生产、销售。</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第十三条  </w:t>
      </w:r>
      <w:r>
        <w:rPr>
          <w:rFonts w:ascii="仿宋" w:hAnsi="仿宋" w:cs="仿宋" w:hint="eastAsia" w:eastAsia="仿宋"/>
          <w:kern w:val="0"/>
          <w:sz w:val="32"/>
          <w:szCs w:val="32"/>
        </w:rPr>
        <w:t>鼓励公民、法人和其他组织挖掘文化、工业和生态等旅游资源，开展具有地方特色、民族特色、文化内涵的旅游节庆活动，培育旅游品牌。</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仿宋" w:hAnsi="仿宋" w:cs="仿宋" w:hint="eastAsia" w:eastAsia="仿宋"/>
          <w:kern w:val="0"/>
          <w:sz w:val="32"/>
          <w:szCs w:val="32"/>
        </w:rPr>
        <w:t>鼓励和扶持开发冬季冰雪旅游项目，促进旅游与文化、体育、农业、工业、商业等融合发展，构建多元一体化消费产业链。</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仿宋" w:hAnsi="仿宋" w:cs="仿宋" w:hint="eastAsia" w:eastAsia="仿宋"/>
          <w:kern w:val="0"/>
          <w:sz w:val="32"/>
          <w:szCs w:val="32"/>
        </w:rPr>
        <w:t>建设区域旅游合作平台，提升龙头旅游企业带动作用，扶持行业协会发展。</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第十四条  </w:t>
      </w:r>
      <w:r>
        <w:rPr>
          <w:rFonts w:ascii="仿宋" w:hAnsi="仿宋" w:cs="仿宋" w:hint="eastAsia" w:eastAsia="仿宋"/>
          <w:kern w:val="0"/>
          <w:sz w:val="32"/>
          <w:szCs w:val="32"/>
        </w:rPr>
        <w:t>鼓励公民、法人和其他组织利用森林资源、农村田园景观、自然风光、乡村民俗和设施农业等发展旅游经济实体。推进旅游全域化发展、田园综合体和乡村民宿精品化建设，为旅游者提供优质的休闲、度假、观光、研学、采摘、娱乐、餐饮、住宿等多功能服务。</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仿宋" w:hAnsi="仿宋" w:cs="仿宋" w:hint="eastAsia" w:eastAsia="仿宋"/>
          <w:kern w:val="0"/>
          <w:sz w:val="32"/>
          <w:szCs w:val="32"/>
        </w:rPr>
        <w:t>县（区）人民政府应当对重点乡村旅游度假区、特色民居的建设项目给予基础设施配套等方面政策支持。</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仿宋" w:hAnsi="仿宋" w:cs="仿宋" w:hint="eastAsia" w:eastAsia="仿宋"/>
          <w:kern w:val="0"/>
          <w:sz w:val="32"/>
          <w:szCs w:val="32"/>
        </w:rPr>
        <w:t>对充分依托山林、沟域自然风景资源进行生态（农业）旅游、休闲度假等项目开发的区块，可以依法依规实行点状供地、垂直开发。</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第十五条  </w:t>
      </w:r>
      <w:r>
        <w:rPr>
          <w:rFonts w:ascii="仿宋" w:hAnsi="仿宋" w:cs="仿宋" w:hint="eastAsia" w:eastAsia="仿宋"/>
          <w:kern w:val="0"/>
          <w:sz w:val="32"/>
          <w:szCs w:val="32"/>
        </w:rPr>
        <w:t>市、县（区）人民政府及其有关部门应当利用各种媒体加强旅游宣传，向国内外推介本行政区域的自然景观、人文景观、民俗风情等，开拓旅游客源市场。</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第十六条  </w:t>
      </w:r>
      <w:r>
        <w:rPr>
          <w:rFonts w:ascii="仿宋" w:hAnsi="仿宋" w:cs="仿宋" w:hint="eastAsia" w:eastAsia="仿宋"/>
          <w:kern w:val="0"/>
          <w:sz w:val="32"/>
          <w:szCs w:val="32"/>
        </w:rPr>
        <w:t>本市规划和建设公共交通网络，应当兼顾旅游产业发展的需要，完善旅游公共交通服务。</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仿宋" w:hAnsi="仿宋" w:cs="仿宋" w:hint="eastAsia" w:eastAsia="仿宋"/>
          <w:kern w:val="0"/>
          <w:sz w:val="32"/>
          <w:szCs w:val="32"/>
        </w:rPr>
        <w:t>旅游公共交通线路，应当符合旅游发展规划的要求，其站点的设置应当遵循方便旅游者的原则。</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仿宋" w:hAnsi="仿宋" w:cs="仿宋" w:hint="eastAsia" w:eastAsia="仿宋"/>
          <w:kern w:val="0"/>
          <w:sz w:val="32"/>
          <w:szCs w:val="32"/>
        </w:rPr>
        <w:t>旅游交通标识及主要旅游景区（点）交通指示标志，应当纳入城市道路标识系统，统一规划，统一设置。</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第十七条  </w:t>
      </w:r>
      <w:r>
        <w:rPr>
          <w:rFonts w:ascii="仿宋" w:hAnsi="仿宋" w:cs="仿宋" w:hint="eastAsia" w:eastAsia="仿宋"/>
          <w:kern w:val="0"/>
          <w:sz w:val="32"/>
          <w:szCs w:val="32"/>
        </w:rPr>
        <w:t>公安交通管理部门应当采取措施保障旅游者在本市交通繁忙拥挤地段的景点、商业步行街、会展中心、旅游饭店等地进行旅游活动的交通安全，并为大型旅游车辆停靠和旅游者上下车提供便利。</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第十八条  </w:t>
      </w:r>
      <w:r>
        <w:rPr>
          <w:rFonts w:ascii="仿宋" w:hAnsi="仿宋" w:cs="仿宋" w:hint="eastAsia" w:eastAsia="仿宋"/>
          <w:kern w:val="0"/>
          <w:sz w:val="32"/>
          <w:szCs w:val="32"/>
        </w:rPr>
        <w:t>市、县（区）文化行政管理部门应当对区域内具有特殊历史背景和文化内涵的街区、建（构）筑物设置统一的说明标牌，介绍有关历史文化内容。</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第十九条  </w:t>
      </w:r>
      <w:r>
        <w:rPr>
          <w:rFonts w:ascii="仿宋" w:hAnsi="仿宋" w:cs="仿宋" w:hint="eastAsia" w:eastAsia="仿宋"/>
          <w:kern w:val="0"/>
          <w:sz w:val="32"/>
          <w:szCs w:val="32"/>
        </w:rPr>
        <w:t>旅游行业协会应当建立诚信经营、失信惩戒等行业自律制度，规范行业竞争行为，开展行业培训，为会员提供市场开拓、产品推介、交流合作等服务。</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第二十条</w:t>
      </w:r>
      <w:r>
        <w:rPr>
          <w:rFonts w:ascii="仿宋" w:hAnsi="仿宋" w:cs="仿宋" w:hint="eastAsia" w:eastAsia="仿宋"/>
          <w:kern w:val="0"/>
          <w:sz w:val="32"/>
          <w:szCs w:val="32"/>
        </w:rPr>
        <w:t xml:space="preserve">  任何单位和个人都有义务保护旅游资源，不得在旅游景区（点）或者已经规划但尚未开发利用的旅游资源地域内建设对环境有害的项目，不得建设损害景观的设施；建设与旅游有关的其他设施或者项目，其污染物排放不得超过国家或者地方规定的排放标准。</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仿宋" w:hAnsi="仿宋" w:cs="仿宋" w:hint="eastAsia" w:eastAsia="仿宋"/>
          <w:kern w:val="0"/>
          <w:sz w:val="32"/>
          <w:szCs w:val="32"/>
        </w:rPr>
        <w:t>禁止在旅游景区（点）或者已经评估认定但尚未开发利用的旅游资源地域内擅自进行采石、开矿、挖沙、埋坟、砍伐林木等破坏环境、文物或者自然资源的行为。</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第二十一条  </w:t>
      </w:r>
      <w:r>
        <w:rPr>
          <w:rFonts w:ascii="仿宋" w:hAnsi="仿宋" w:cs="仿宋" w:hint="eastAsia" w:eastAsia="仿宋"/>
          <w:kern w:val="0"/>
          <w:sz w:val="32"/>
          <w:szCs w:val="32"/>
        </w:rPr>
        <w:t>旅游景区（点）应当根据接待容量，按照规定标准设置停车场、公共厕所、环境卫生、通讯和安全保障等必要的配套服务设施。</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仿宋" w:hAnsi="仿宋" w:cs="仿宋" w:hint="eastAsia" w:eastAsia="仿宋"/>
          <w:kern w:val="0"/>
          <w:sz w:val="32"/>
          <w:szCs w:val="32"/>
        </w:rPr>
        <w:t>旅游景区（点）的配套服务设施应当统一规划、合理布局，不得影响旅游景区（点）的景容。</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第二十二条  </w:t>
      </w:r>
      <w:r>
        <w:rPr>
          <w:rFonts w:ascii="仿宋" w:hAnsi="仿宋" w:cs="仿宋" w:hint="eastAsia" w:eastAsia="仿宋"/>
          <w:kern w:val="0"/>
          <w:sz w:val="32"/>
          <w:szCs w:val="32"/>
        </w:rPr>
        <w:t>旅游经营者在经营活动中应当遵循平等、自愿、公平、诚实信用的原则，按照国家规定对服务项目和收费标准进行公示。</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第二十三条  </w:t>
      </w:r>
      <w:r>
        <w:rPr>
          <w:rFonts w:ascii="仿宋" w:hAnsi="仿宋" w:cs="仿宋" w:hint="eastAsia" w:eastAsia="仿宋"/>
          <w:kern w:val="0"/>
          <w:sz w:val="32"/>
          <w:szCs w:val="32"/>
        </w:rPr>
        <w:t>旅游经营者应当加强对从业人员职业道德、业务素质的教育和培训，按照国家和旅游行业标准，实行规范化、标准化服务。</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第二十四条  </w:t>
      </w:r>
      <w:r>
        <w:rPr>
          <w:rFonts w:ascii="仿宋" w:hAnsi="仿宋" w:cs="仿宋" w:hint="eastAsia" w:eastAsia="仿宋"/>
          <w:kern w:val="0"/>
          <w:sz w:val="32"/>
          <w:szCs w:val="32"/>
        </w:rPr>
        <w:t>旅游购物场所应当向旅游者提供有关商品或者服务的真实信息，明码标价，公平交易，不得做引人误解的虚假宣传，不得欺骗、诱导旅游者消费，不得强制旅游者进行交易。</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第二十五条  </w:t>
      </w:r>
      <w:r>
        <w:rPr>
          <w:rFonts w:ascii="仿宋" w:hAnsi="仿宋" w:cs="仿宋" w:hint="eastAsia" w:eastAsia="仿宋"/>
          <w:kern w:val="0"/>
          <w:sz w:val="32"/>
          <w:szCs w:val="32"/>
        </w:rPr>
        <w:t>旅游经营者应当按照国家有关安全生产的法律、法规，建立健全安全生产责任制度，配备与经营范围相适应的安全设备和设施，并定期维护、保养，保证其安全运转。</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第二十六条  </w:t>
      </w:r>
      <w:r>
        <w:rPr>
          <w:rFonts w:ascii="仿宋" w:hAnsi="仿宋" w:cs="仿宋" w:hint="eastAsia" w:eastAsia="仿宋"/>
          <w:kern w:val="0"/>
          <w:sz w:val="32"/>
          <w:szCs w:val="32"/>
        </w:rPr>
        <w:t>旅游经营者应当制定紧急事件和旅游安全事故的应急救援预案，建立、完善旅游风险防范机制。</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仿宋" w:hAnsi="仿宋" w:cs="仿宋" w:hint="eastAsia" w:eastAsia="仿宋"/>
          <w:kern w:val="0"/>
          <w:sz w:val="32"/>
          <w:szCs w:val="32"/>
        </w:rPr>
        <w:t>发生紧急事件或者旅游安全事故，旅游经营者应当及时采取措施组织救护，并立即向旅游行政管理部门和公安等相关部门报告。</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第二十七条  </w:t>
      </w:r>
      <w:r>
        <w:rPr>
          <w:rFonts w:ascii="仿宋" w:hAnsi="仿宋" w:cs="仿宋" w:hint="eastAsia" w:eastAsia="仿宋"/>
          <w:kern w:val="0"/>
          <w:sz w:val="32"/>
          <w:szCs w:val="32"/>
        </w:rPr>
        <w:t>旅游经营者应当对景区（点）内具有一定危险性的区域或者项目，按照相关规定设立明显的安全提示或者警示标志，设置必要的安全保护设施。</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仿宋" w:hAnsi="仿宋" w:eastAsia="仿宋" w:cs="仿宋" w:hint="eastAsia"/>
          <w:kern w:val="0"/>
          <w:sz w:val="32"/>
          <w:szCs w:val="32"/>
        </w:rPr>
      </w:pPr>
      <w:r>
        <w:rPr>
          <w:rFonts w:ascii="黑体" w:hAnsi="黑体" w:cs="黑体" w:hint="eastAsia" w:eastAsia="黑体"/>
          <w:kern w:val="0"/>
          <w:sz w:val="32"/>
          <w:szCs w:val="32"/>
        </w:rPr>
        <w:t xml:space="preserve">第二十八条  </w:t>
      </w:r>
      <w:r>
        <w:rPr>
          <w:rFonts w:ascii="仿宋" w:hAnsi="仿宋" w:cs="仿宋" w:hint="eastAsia" w:eastAsia="仿宋"/>
          <w:kern w:val="0"/>
          <w:sz w:val="32"/>
          <w:szCs w:val="32"/>
        </w:rPr>
        <w:t>建立旅行社信用信息通报制度。市旅游行政管理部门应当定期向社会公布旅行社受行政处罚及有效投诉等相关信用信息。</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rFonts w:ascii="黑体" w:hAnsi="黑体" w:eastAsia="黑体" w:cs="黑体"/>
          <w:kern w:val="0"/>
          <w:sz w:val="32"/>
          <w:szCs w:val="32"/>
        </w:rPr>
      </w:pPr>
      <w:r>
        <w:rPr>
          <w:rFonts w:ascii="黑体" w:hAnsi="黑体" w:cs="黑体" w:hint="eastAsia" w:eastAsia="黑体"/>
          <w:kern w:val="0"/>
          <w:sz w:val="32"/>
          <w:szCs w:val="32"/>
        </w:rPr>
        <w:t xml:space="preserve">第二十九条  </w:t>
      </w:r>
      <w:r>
        <w:rPr>
          <w:rFonts w:ascii="仿宋" w:hAnsi="仿宋" w:cs="仿宋" w:hint="eastAsia" w:eastAsia="仿宋"/>
          <w:kern w:val="0"/>
          <w:sz w:val="32"/>
          <w:szCs w:val="32"/>
        </w:rPr>
        <w:t>旅游行政管理工作人员玩忽职守、滥用职权、徇私舞弊的，由其所在单位或者上级机关给予行政处分；构成犯罪的，依法追究刑事责任。</w:t>
      </w:r>
    </w:p>
    <w:p>
      <w:pPr>
        <w:pStyle w:val="Normal"/>
        <w:keepNext w:val="false"/>
        <w:keepLines w:val="false"/>
        <w:pageBreakBefore w:val="false"/>
        <w:widowControl w:val="false"/>
        <w:kinsoku w:val="true"/>
        <w:overflowPunct w:val="true"/>
        <w:autoSpaceDE w:val="true"/>
        <w:bidi w:val="0"/>
        <w:spacing w:lineRule="exact" w:line="580" w:before="0" w:after="0"/>
        <w:ind w:firstLineChars="200" w:startChars="0" w:start="0" w:endChars="0" w:end="0"/>
        <w:textAlignment w:val="auto"/>
        <w:rPr/>
      </w:pPr>
      <w:r>
        <w:rPr>
          <w:rFonts w:ascii="黑体" w:hAnsi="黑体" w:cs="黑体" w:hint="eastAsia" w:eastAsia="黑体"/>
          <w:kern w:val="0"/>
          <w:sz w:val="32"/>
          <w:szCs w:val="32"/>
        </w:rPr>
        <w:t xml:space="preserve">第三十条  </w:t>
      </w:r>
      <w:r>
        <w:rPr>
          <w:rFonts w:ascii="仿宋" w:hAnsi="仿宋" w:cs="仿宋" w:hint="eastAsia" w:eastAsia="仿宋"/>
          <w:kern w:val="0"/>
          <w:sz w:val="32"/>
          <w:szCs w:val="32"/>
        </w:rPr>
        <w:t>本条例自</w:t>
      </w:r>
      <w:r>
        <w:rPr>
          <w:rFonts w:eastAsia="仿宋" w:cs="仿宋" w:hint="eastAsia" w:ascii="仿宋" w:hAnsi="仿宋"/>
          <w:kern w:val="0"/>
          <w:sz w:val="32"/>
          <w:szCs w:val="32"/>
        </w:rPr>
        <w:t>2010</w:t>
      </w:r>
      <w:r>
        <w:rPr>
          <w:rFonts w:ascii="仿宋" w:hAnsi="仿宋" w:cs="仿宋" w:hint="eastAsia" w:eastAsia="仿宋"/>
          <w:kern w:val="0"/>
          <w:sz w:val="32"/>
          <w:szCs w:val="32"/>
        </w:rPr>
        <w:t>年</w:t>
      </w:r>
      <w:r>
        <w:rPr>
          <w:rFonts w:eastAsia="仿宋" w:cs="仿宋" w:hint="eastAsia" w:ascii="仿宋" w:hAnsi="仿宋"/>
          <w:kern w:val="0"/>
          <w:sz w:val="32"/>
          <w:szCs w:val="32"/>
        </w:rPr>
        <w:t>1</w:t>
      </w:r>
      <w:r>
        <w:rPr>
          <w:rFonts w:ascii="仿宋" w:hAnsi="仿宋" w:cs="仿宋" w:hint="eastAsia" w:eastAsia="仿宋"/>
          <w:kern w:val="0"/>
          <w:sz w:val="32"/>
          <w:szCs w:val="32"/>
        </w:rPr>
        <w:t>月</w:t>
      </w:r>
      <w:r>
        <w:rPr>
          <w:rFonts w:eastAsia="仿宋" w:cs="仿宋" w:hint="eastAsia" w:ascii="仿宋" w:hAnsi="仿宋"/>
          <w:kern w:val="0"/>
          <w:sz w:val="32"/>
          <w:szCs w:val="32"/>
        </w:rPr>
        <w:t>1</w:t>
      </w:r>
      <w:r>
        <w:rPr>
          <w:rFonts w:ascii="仿宋" w:hAnsi="仿宋" w:cs="仿宋" w:hint="eastAsia" w:eastAsia="仿宋"/>
          <w:kern w:val="0"/>
          <w:sz w:val="32"/>
          <w:szCs w:val="32"/>
        </w:rPr>
        <w:t>日起施行。</w:t>
      </w:r>
    </w:p>
    <w:sectPr>
      <w:headerReference w:type="default" r:id="rId2"/>
      <w:footerReference w:type="default" r:id="rId3"/>
      <w:type w:val="nextPage"/>
      <w:pgSz w:w="11906" w:h="16838"/>
      <w:pgMar w:left="1588" w:right="1418" w:gutter="0" w:header="851"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altName w:val="宋体"/>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modern"/>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7</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pt;mso-position-vertical:top;mso-position-vertical-relative:text;margin-left:437.2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7</w:t>
                    </w:r>
                    <w:r>
                      <w:rPr>
                        <w:rFonts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宋体" w:hAnsi="等线 Light;宋体" w:eastAsia="华文楷体" w:cs="等线 Light;宋体"/>
      <w:bCs/>
      <w:kern w:val="2"/>
      <w:sz w:val="32"/>
      <w:szCs w:val="32"/>
    </w:rPr>
  </w:style>
  <w:style w:type="character" w:styleId="Style13">
    <w:name w:val="默认段落字体"/>
    <w:qFormat/>
    <w:rPr/>
  </w:style>
  <w:style w:type="character" w:styleId="Hyperlink">
    <w:name w:val="Hyperlink"/>
    <w:rPr>
      <w:color w:val="0000FF"/>
      <w:u w:val="single"/>
    </w:rPr>
  </w:style>
  <w:style w:type="character" w:styleId="PageNumber">
    <w:name w:val="page number"/>
    <w:basedOn w:val="Style13"/>
    <w:rPr/>
  </w:style>
  <w:style w:type="character" w:styleId="PlainTextChar">
    <w:name w:val="Plain Text Char"/>
    <w:basedOn w:val="Style13"/>
    <w:qFormat/>
    <w:rPr>
      <w:rFonts w:ascii="宋体" w:hAnsi="宋体" w:eastAsia="宋体" w:cs="Courier New"/>
      <w:kern w:val="2"/>
      <w:sz w:val="21"/>
      <w:szCs w:val="21"/>
      <w:lang w:bidi="ar-SA"/>
    </w:rPr>
  </w:style>
  <w:style w:type="character" w:styleId="Heading2Char">
    <w:name w:val="Heading 2 Char"/>
    <w:basedOn w:val="Style13"/>
    <w:qFormat/>
    <w:rPr>
      <w:rFonts w:ascii="等线 Light;宋体" w:hAnsi="等线 Light;宋体" w:eastAsia="华文楷体" w:cs="等线 Light;宋体"/>
      <w:bCs/>
      <w:kern w:val="2"/>
      <w:sz w:val="32"/>
      <w:szCs w:val="32"/>
      <w:lang w:bidi="ar-SA"/>
    </w:rPr>
  </w:style>
  <w:style w:type="character" w:styleId="apple-converted-space">
    <w:name w:val="apple-converted-space"/>
    <w:basedOn w:val="Style13"/>
    <w:qFormat/>
    <w:rPr/>
  </w:style>
  <w:style w:type="character" w:styleId="CommentTextChar">
    <w:name w:val="Comment Text Char"/>
    <w:basedOn w:val="Style13"/>
    <w:qFormat/>
    <w:rPr>
      <w:rFonts w:eastAsia="宋体"/>
      <w:kern w:val="2"/>
      <w:sz w:val="21"/>
      <w:lang w:bidi="ar-SA"/>
    </w:rPr>
  </w:style>
  <w:style w:type="character" w:styleId="FooterChar">
    <w:name w:val="Footer Char"/>
    <w:basedOn w:val="Style13"/>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0" w:firstLine="0" w:startChars="2500" w:endChars="0" w:end="0"/>
    </w:pPr>
    <w:rPr/>
  </w:style>
  <w:style w:type="paragraph" w:styleId="Style15">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Style16">
    <w:name w:val="纯文本"/>
    <w:basedOn w:val="Normal"/>
    <w:qFormat/>
    <w:pPr/>
    <w:rPr>
      <w:rFonts w:ascii="宋体" w:hAnsi="宋体" w:eastAsia="宋体" w:cs="Courier New"/>
      <w:kern w:val="2"/>
      <w:sz w:val="21"/>
      <w:szCs w:val="21"/>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
    <w:name w:val="正文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val="en-US" w:eastAsia="zh-CN" w:bidi="hi-I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1">
    <w:name w:val="页脚 New New"/>
    <w:basedOn w:val="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1">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kern w:val="0"/>
      <w:sz w:val="32"/>
      <w:szCs w:val="20"/>
      <w:lang w:val="en-US" w:eastAsia="zh-CN" w:bidi="hi-I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1">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kern w:val="0"/>
      <w:sz w:val="21"/>
      <w:szCs w:val="24"/>
      <w:lang w:val="en-US" w:eastAsia="zh-CN" w:bidi="hi-I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1">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1">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
    <w:name w:val="正文 New New New New New New New New New"/>
    <w:qFormat/>
    <w:pPr>
      <w:widowControl w:val="false"/>
      <w:bidi w:val="0"/>
      <w:jc w:val="both"/>
    </w:pPr>
    <w:rPr>
      <w:rFonts w:ascii="宋体" w:hAnsi="宋体" w:eastAsia="方正仿宋简体" w:cs="Times New Roman"/>
      <w:color w:val="auto"/>
      <w:kern w:val="2"/>
      <w:sz w:val="32"/>
      <w:szCs w:val="24"/>
      <w:lang w:val="en-US" w:eastAsia="zh-CN" w:bidi="hi-IN"/>
    </w:rPr>
  </w:style>
  <w:style w:type="paragraph" w:styleId="NewNewNewNewNewNewNewNew1">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1">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2">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1">
    <w:name w:val="正文文本缩进 New"/>
    <w:basedOn w:val="Normal"/>
    <w:qFormat/>
    <w:pPr>
      <w:ind w:firstLineChars="200" w:startChars="0" w:start="0" w:endChars="0" w:end="0"/>
    </w:pPr>
    <w:rPr>
      <w:rFonts w:ascii="宋体" w:hAnsi="宋体" w:cs="宋体"/>
      <w:b/>
      <w:sz w:val="44"/>
      <w:szCs w:val="44"/>
    </w:rPr>
  </w:style>
  <w:style w:type="paragraph" w:styleId="NewNewNewNewNewNewNewNew2">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1">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2">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Style18">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1">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3">
    <w:name w:val="正文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1">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Char1">
    <w:name w:val="Char1"/>
    <w:basedOn w:val="Normal"/>
    <w:qFormat/>
    <w:pPr/>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1">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ListParagraphNew">
    <w:name w:val="List Paragraph New"/>
    <w:basedOn w:val="New3"/>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2">
    <w:name w:val="页脚 New New New New New"/>
    <w:basedOn w:val="NewNewNewNewNewNew"/>
    <w:qFormat/>
    <w:pPr>
      <w:tabs>
        <w:tab w:val="clear" w:pos="420"/>
        <w:tab w:val="center" w:pos="4153" w:leader="none"/>
        <w:tab w:val="right" w:pos="8306" w:leader="none"/>
      </w:tabs>
      <w:snapToGrid w:val="false"/>
      <w:jc w:val="start"/>
    </w:pPr>
    <w:rPr>
      <w:sz w:val="18"/>
      <w:szCs w:val="18"/>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2">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2">
    <w:name w:val="页脚 New New New New"/>
    <w:basedOn w:val="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biology</cp:lastModifiedBy>
  <dcterms:modified xsi:type="dcterms:W3CDTF">2020-09-10T16:22:46Z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