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 w:hAnsi="宋体" w:cs="宋体" w:hint="eastAsia"/>
          <w:b/>
          <w:sz w:val="44"/>
          <w:szCs w:val="44"/>
        </w:rPr>
      </w:pPr>
      <w:r>
        <w:rPr>
          <w:rFonts w:ascii="宋体" w:hAnsi="宋体" w:cs="宋体" w:hint="eastAsia"/>
          <w:b/>
          <w:sz w:val="44"/>
          <w:szCs w:val="44"/>
        </w:rPr>
        <w:t>辽宁省古生物化石保护条例</w:t>
      </w:r>
    </w:p>
    <w:p>
      <w:pPr>
        <w:pStyle w:val="Normal"/>
        <w:jc w:val="center"/>
        <w:rPr>
          <w:rFonts w:ascii="宋体" w:hAnsi="宋体" w:cs="宋体" w:hint="eastAsia"/>
          <w:b/>
          <w:sz w:val="44"/>
          <w:szCs w:val="44"/>
        </w:rPr>
      </w:pPr>
      <w:r>
        <w:rPr>
          <w:rFonts w:cs="宋体" w:hint="eastAsia" w:ascii="宋体" w:hAnsi="宋体"/>
          <w:b/>
          <w:sz w:val="44"/>
          <w:szCs w:val="44"/>
        </w:rPr>
      </w:r>
    </w:p>
    <w:p>
      <w:pPr>
        <w:pStyle w:val="Normal"/>
        <w:ind w:firstLineChars="200" w:startChars="0" w:start="0" w:endChars="0" w:end="0"/>
        <w:rPr>
          <w:rFonts w:ascii="楷体" w:hAnsi="楷体" w:eastAsia="楷体" w:cs="楷体" w:hint="eastAsia"/>
          <w:sz w:val="28"/>
          <w:szCs w:val="28"/>
        </w:rPr>
      </w:pPr>
      <w:r>
        <w:rPr>
          <w:rFonts w:ascii="楷体" w:hAnsi="楷体" w:cs="楷体" w:hint="eastAsia" w:eastAsia="楷体"/>
          <w:sz w:val="28"/>
          <w:szCs w:val="28"/>
        </w:rPr>
        <w:t>（</w:t>
      </w:r>
      <w:r>
        <w:rPr>
          <w:rFonts w:eastAsia="楷体" w:cs="楷体" w:hint="eastAsia" w:ascii="楷体" w:hAnsi="楷体"/>
          <w:sz w:val="28"/>
          <w:szCs w:val="28"/>
        </w:rPr>
        <w:t>2005</w:t>
      </w:r>
      <w:r>
        <w:rPr>
          <w:rFonts w:ascii="楷体" w:hAnsi="楷体" w:cs="楷体" w:hint="eastAsia" w:eastAsia="楷体"/>
          <w:sz w:val="28"/>
          <w:szCs w:val="28"/>
        </w:rPr>
        <w:t>年</w:t>
      </w:r>
      <w:r>
        <w:rPr>
          <w:rFonts w:eastAsia="楷体" w:cs="楷体" w:hint="eastAsia" w:ascii="楷体" w:hAnsi="楷体"/>
          <w:sz w:val="28"/>
          <w:szCs w:val="28"/>
        </w:rPr>
        <w:t>5</w:t>
      </w:r>
      <w:r>
        <w:rPr>
          <w:rFonts w:ascii="楷体" w:hAnsi="楷体" w:cs="楷体" w:hint="eastAsia" w:eastAsia="楷体"/>
          <w:sz w:val="28"/>
          <w:szCs w:val="28"/>
        </w:rPr>
        <w:t>月</w:t>
      </w:r>
      <w:r>
        <w:rPr>
          <w:rFonts w:eastAsia="楷体" w:cs="楷体" w:hint="eastAsia" w:ascii="楷体" w:hAnsi="楷体"/>
          <w:sz w:val="28"/>
          <w:szCs w:val="28"/>
        </w:rPr>
        <w:t>28</w:t>
      </w:r>
      <w:r>
        <w:rPr>
          <w:rFonts w:ascii="楷体" w:hAnsi="楷体" w:cs="楷体" w:hint="eastAsia" w:eastAsia="楷体"/>
          <w:sz w:val="28"/>
          <w:szCs w:val="28"/>
        </w:rPr>
        <w:t>日辽宁省第十届人民代表大会常务委员会第十九次会议通过  根据</w:t>
      </w:r>
      <w:r>
        <w:rPr>
          <w:rFonts w:eastAsia="楷体" w:cs="楷体" w:hint="eastAsia" w:ascii="楷体" w:hAnsi="楷体"/>
          <w:sz w:val="28"/>
          <w:szCs w:val="28"/>
        </w:rPr>
        <w:t>2015</w:t>
      </w:r>
      <w:r>
        <w:rPr>
          <w:rFonts w:ascii="楷体" w:hAnsi="楷体" w:cs="楷体" w:hint="eastAsia" w:eastAsia="楷体"/>
          <w:sz w:val="28"/>
          <w:szCs w:val="28"/>
        </w:rPr>
        <w:t>年</w:t>
      </w:r>
      <w:r>
        <w:rPr>
          <w:rFonts w:eastAsia="楷体" w:cs="楷体" w:hint="eastAsia" w:ascii="楷体" w:hAnsi="楷体"/>
          <w:sz w:val="28"/>
          <w:szCs w:val="28"/>
        </w:rPr>
        <w:t>9</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日辽宁省第十二届人民代表大会常务委员会第二十一次会议《关于修改部分地方性法规的决定》第一次修正  根据</w:t>
      </w:r>
      <w:r>
        <w:rPr>
          <w:rFonts w:eastAsia="楷体" w:cs="楷体" w:hint="eastAsia" w:ascii="楷体" w:hAnsi="楷体"/>
          <w:sz w:val="28"/>
          <w:szCs w:val="28"/>
        </w:rPr>
        <w:t>2016</w:t>
      </w:r>
      <w:r>
        <w:rPr>
          <w:rFonts w:ascii="楷体" w:hAnsi="楷体" w:cs="楷体" w:hint="eastAsia" w:eastAsia="楷体"/>
          <w:sz w:val="28"/>
          <w:szCs w:val="28"/>
        </w:rPr>
        <w:t>年</w:t>
      </w:r>
      <w:r>
        <w:rPr>
          <w:rFonts w:eastAsia="楷体" w:cs="楷体" w:hint="eastAsia" w:ascii="楷体" w:hAnsi="楷体"/>
          <w:sz w:val="28"/>
          <w:szCs w:val="28"/>
        </w:rPr>
        <w:t>5</w:t>
      </w:r>
      <w:r>
        <w:rPr>
          <w:rFonts w:ascii="楷体" w:hAnsi="楷体" w:cs="楷体" w:hint="eastAsia" w:eastAsia="楷体"/>
          <w:sz w:val="28"/>
          <w:szCs w:val="28"/>
        </w:rPr>
        <w:t>月</w:t>
      </w:r>
      <w:r>
        <w:rPr>
          <w:rFonts w:eastAsia="楷体" w:cs="楷体" w:hint="eastAsia" w:ascii="楷体" w:hAnsi="楷体"/>
          <w:sz w:val="28"/>
          <w:szCs w:val="28"/>
        </w:rPr>
        <w:t>25</w:t>
      </w:r>
      <w:r>
        <w:rPr>
          <w:rFonts w:ascii="楷体" w:hAnsi="楷体" w:cs="楷体" w:hint="eastAsia" w:eastAsia="楷体"/>
          <w:sz w:val="28"/>
          <w:szCs w:val="28"/>
        </w:rPr>
        <w:t>日辽宁省第十二届人民代表大会常务委员会第二十六次会议《关于修改</w:t>
      </w:r>
      <w:r>
        <w:rPr>
          <w:rFonts w:eastAsia="楷体" w:cs="楷体" w:hint="eastAsia" w:ascii="楷体" w:hAnsi="楷体"/>
          <w:sz w:val="28"/>
          <w:szCs w:val="28"/>
        </w:rPr>
        <w:t>&lt;</w:t>
      </w:r>
      <w:r>
        <w:rPr>
          <w:rFonts w:ascii="楷体" w:hAnsi="楷体" w:cs="楷体" w:hint="eastAsia" w:eastAsia="楷体"/>
          <w:sz w:val="28"/>
          <w:szCs w:val="28"/>
        </w:rPr>
        <w:t>辽宁省节约能源条例</w:t>
      </w:r>
      <w:r>
        <w:rPr>
          <w:rFonts w:eastAsia="楷体" w:cs="楷体" w:hint="eastAsia" w:ascii="楷体" w:hAnsi="楷体"/>
          <w:sz w:val="28"/>
          <w:szCs w:val="28"/>
        </w:rPr>
        <w:t>&gt;</w:t>
      </w:r>
      <w:r>
        <w:rPr>
          <w:rFonts w:ascii="楷体" w:hAnsi="楷体" w:cs="楷体" w:hint="eastAsia" w:eastAsia="楷体"/>
          <w:sz w:val="28"/>
          <w:szCs w:val="28"/>
        </w:rPr>
        <w:t>等</w:t>
      </w:r>
      <w:r>
        <w:rPr>
          <w:rFonts w:eastAsia="楷体" w:cs="楷体" w:hint="eastAsia" w:ascii="楷体" w:hAnsi="楷体"/>
          <w:sz w:val="28"/>
          <w:szCs w:val="28"/>
        </w:rPr>
        <w:t>8</w:t>
      </w:r>
      <w:r>
        <w:rPr>
          <w:rFonts w:ascii="楷体" w:hAnsi="楷体" w:cs="楷体" w:hint="eastAsia" w:eastAsia="楷体"/>
          <w:sz w:val="28"/>
          <w:szCs w:val="28"/>
        </w:rPr>
        <w:t>件地方性法规的决定》第二次修正  根据</w:t>
      </w:r>
      <w:r>
        <w:rPr>
          <w:rFonts w:eastAsia="楷体" w:cs="楷体" w:hint="eastAsia" w:ascii="楷体" w:hAnsi="楷体"/>
          <w:sz w:val="28"/>
          <w:szCs w:val="28"/>
        </w:rPr>
        <w:t>2018</w:t>
      </w:r>
      <w:r>
        <w:rPr>
          <w:rFonts w:ascii="楷体" w:hAnsi="楷体" w:cs="楷体" w:hint="eastAsia" w:eastAsia="楷体"/>
          <w:sz w:val="28"/>
          <w:szCs w:val="28"/>
        </w:rPr>
        <w:t>年</w:t>
      </w:r>
      <w:r>
        <w:rPr>
          <w:rFonts w:eastAsia="楷体" w:cs="楷体" w:hint="eastAsia" w:ascii="楷体" w:hAnsi="楷体"/>
          <w:sz w:val="28"/>
          <w:szCs w:val="28"/>
        </w:rPr>
        <w:t>3</w:t>
      </w:r>
      <w:r>
        <w:rPr>
          <w:rFonts w:ascii="楷体" w:hAnsi="楷体" w:cs="楷体" w:hint="eastAsia" w:eastAsia="楷体"/>
          <w:sz w:val="28"/>
          <w:szCs w:val="28"/>
        </w:rPr>
        <w:t>月</w:t>
      </w:r>
      <w:r>
        <w:rPr>
          <w:rFonts w:eastAsia="楷体" w:cs="楷体" w:hint="eastAsia" w:ascii="楷体" w:hAnsi="楷体"/>
          <w:sz w:val="28"/>
          <w:szCs w:val="28"/>
        </w:rPr>
        <w:t>27</w:t>
      </w:r>
      <w:r>
        <w:rPr>
          <w:rFonts w:ascii="楷体" w:hAnsi="楷体" w:cs="楷体" w:hint="eastAsia" w:eastAsia="楷体"/>
          <w:sz w:val="28"/>
          <w:szCs w:val="28"/>
        </w:rPr>
        <w:t>日辽宁省第十三届人民代表大会常务委员会第二次会议《关于修改</w:t>
      </w:r>
      <w:r>
        <w:rPr>
          <w:rFonts w:eastAsia="楷体" w:cs="楷体" w:hint="eastAsia" w:ascii="楷体" w:hAnsi="楷体"/>
          <w:sz w:val="28"/>
          <w:szCs w:val="28"/>
        </w:rPr>
        <w:t>&lt;</w:t>
      </w:r>
      <w:r>
        <w:rPr>
          <w:rFonts w:ascii="楷体" w:hAnsi="楷体" w:cs="楷体" w:hint="eastAsia" w:eastAsia="楷体"/>
          <w:sz w:val="28"/>
          <w:szCs w:val="28"/>
        </w:rPr>
        <w:t>辽宁省实施《中华人民共和国森林法》办法</w:t>
      </w:r>
      <w:r>
        <w:rPr>
          <w:rFonts w:eastAsia="楷体" w:cs="楷体" w:hint="eastAsia" w:ascii="楷体" w:hAnsi="楷体"/>
          <w:sz w:val="28"/>
          <w:szCs w:val="28"/>
        </w:rPr>
        <w:t>&gt;</w:t>
      </w:r>
      <w:r>
        <w:rPr>
          <w:rFonts w:ascii="楷体" w:hAnsi="楷体" w:cs="楷体" w:hint="eastAsia" w:eastAsia="楷体"/>
          <w:sz w:val="28"/>
          <w:szCs w:val="28"/>
        </w:rPr>
        <w:t>等部分地方性法规的决定》第三次修正）</w:t>
      </w:r>
    </w:p>
    <w:p>
      <w:pPr>
        <w:pStyle w:val="Normal"/>
        <w:rPr>
          <w:rFonts w:ascii="仿宋" w:hAnsi="仿宋" w:eastAsia="仿宋" w:cs="仿宋" w:hint="eastAsia"/>
          <w:sz w:val="32"/>
          <w:szCs w:val="32"/>
        </w:rPr>
      </w:pPr>
      <w:r>
        <w:rPr>
          <w:rFonts w:eastAsia="仿宋" w:cs="仿宋" w:hint="eastAsia" w:ascii="仿宋" w:hAnsi="仿宋"/>
          <w:sz w:val="32"/>
          <w:szCs w:val="32"/>
        </w:rPr>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第一条 </w:t>
      </w:r>
      <w:r>
        <w:rPr>
          <w:rFonts w:ascii="仿宋" w:hAnsi="仿宋" w:cs="仿宋" w:hint="eastAsia" w:eastAsia="仿宋"/>
          <w:sz w:val="32"/>
          <w:szCs w:val="32"/>
        </w:rPr>
        <w:t xml:space="preserve"> 为了加强对古生物化石的保护、利用和管理，根据有关法律、法规，结合我省实际，制定本条例。</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第二条</w:t>
      </w:r>
      <w:r>
        <w:rPr>
          <w:rFonts w:ascii="仿宋" w:hAnsi="仿宋" w:cs="仿宋" w:hint="eastAsia" w:eastAsia="仿宋"/>
          <w:sz w:val="32"/>
          <w:szCs w:val="32"/>
        </w:rPr>
        <w:t xml:space="preserve">  本条例所称古生物化石（以下简称化石），是指地质时期形成并赋存于地层中的动物、植物等遗体化石或遗迹化石。</w:t>
      </w:r>
    </w:p>
    <w:p>
      <w:pPr>
        <w:pStyle w:val="Normal"/>
        <w:rPr>
          <w:rFonts w:ascii="仿宋" w:hAnsi="仿宋" w:eastAsia="仿宋" w:cs="仿宋" w:hint="eastAsia"/>
          <w:sz w:val="32"/>
          <w:szCs w:val="32"/>
        </w:rPr>
      </w:pPr>
      <w:r>
        <w:rPr>
          <w:rFonts w:ascii="仿宋" w:hAnsi="仿宋" w:cs="仿宋" w:hint="eastAsia" w:eastAsia="仿宋"/>
          <w:sz w:val="32"/>
          <w:szCs w:val="32"/>
        </w:rPr>
        <w:t>化石产地和具有科学价值的化石受国家保护。对具有科学价值的化石保护分为重点保护和非重点保护。</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第三条</w:t>
      </w:r>
      <w:r>
        <w:rPr>
          <w:rFonts w:ascii="仿宋" w:hAnsi="仿宋" w:cs="仿宋" w:hint="eastAsia" w:eastAsia="仿宋"/>
          <w:sz w:val="32"/>
          <w:szCs w:val="32"/>
        </w:rPr>
        <w:t xml:space="preserve">  化石保护工作贯彻以保护为主、合理利用、加强管理的方针。</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第四条</w:t>
      </w:r>
      <w:r>
        <w:rPr>
          <w:rFonts w:ascii="仿宋" w:hAnsi="仿宋" w:cs="仿宋" w:hint="eastAsia" w:eastAsia="仿宋"/>
          <w:sz w:val="32"/>
          <w:szCs w:val="32"/>
        </w:rPr>
        <w:t xml:space="preserve">  省、市、县（含县级市、区，下同）国土资源行政管理部门是本行政区域内化石的行政主管部门。省国土资源行政管理部门所属的化石管理机构具体负责全省化石保护的管理工作。</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公安、工商、文化、科技、环保、海关等部门，应当按照各自职责，共同做好化石保护的管理工作。</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第五条</w:t>
      </w:r>
      <w:r>
        <w:rPr>
          <w:rFonts w:ascii="仿宋" w:hAnsi="仿宋" w:cs="仿宋" w:hint="eastAsia" w:eastAsia="仿宋"/>
          <w:sz w:val="32"/>
          <w:szCs w:val="32"/>
        </w:rPr>
        <w:t xml:space="preserve">  化石产地的县级以上人民政府应当将化石保护规划纳入本地区国民经济和社会发展规划。</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第六条</w:t>
      </w:r>
      <w:r>
        <w:rPr>
          <w:rFonts w:ascii="仿宋" w:hAnsi="仿宋" w:cs="仿宋" w:hint="eastAsia" w:eastAsia="仿宋"/>
          <w:sz w:val="32"/>
          <w:szCs w:val="32"/>
        </w:rPr>
        <w:t xml:space="preserve">  省国土资源行政管理部门应当会同文化、科技、环保等部门，根据全国化石保护规划编制我省化石保护规划，并监督实施。</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第七条</w:t>
      </w:r>
      <w:r>
        <w:rPr>
          <w:rFonts w:ascii="仿宋" w:hAnsi="仿宋" w:cs="仿宋" w:hint="eastAsia" w:eastAsia="仿宋"/>
          <w:sz w:val="32"/>
          <w:szCs w:val="32"/>
        </w:rPr>
        <w:t xml:space="preserve">  合理利用化石以及化石保护区，开展化石的科学研究、科普教育以及相关旅游项目等活动。</w:t>
      </w:r>
    </w:p>
    <w:p>
      <w:pPr>
        <w:pStyle w:val="Normal"/>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第八条</w:t>
      </w:r>
      <w:r>
        <w:rPr>
          <w:rFonts w:ascii="仿宋" w:hAnsi="仿宋" w:cs="仿宋" w:hint="eastAsia" w:eastAsia="仿宋"/>
          <w:sz w:val="32"/>
          <w:szCs w:val="32"/>
        </w:rPr>
        <w:t xml:space="preserve">  </w:t>
      </w:r>
      <w:r>
        <w:rPr>
          <w:rFonts w:ascii="仿宋" w:hAnsi="仿宋" w:cs="仿宋" w:hint="eastAsia" w:eastAsia="仿宋"/>
          <w:sz w:val="32"/>
          <w:szCs w:val="32"/>
        </w:rPr>
        <w:t>具有重要科学研究价值或者数量稀少的下列化石，应当列为重点保护化石：</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（一）已经命名的化石种属的模式标本；</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（二）保存完整或者较完整的古脊椎动物实体化石；</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（三）大型的或者集中分布的高等植物化石、无脊椎动物化石和古脊椎动物的足迹等遗迹化石；</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（四）国务院国土资源主管部门确定的其他需要重点保护的化石。</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第九条</w:t>
      </w:r>
      <w:r>
        <w:rPr>
          <w:rFonts w:ascii="仿宋" w:hAnsi="仿宋" w:cs="仿宋" w:hint="eastAsia" w:eastAsia="仿宋"/>
          <w:sz w:val="32"/>
          <w:szCs w:val="32"/>
        </w:rPr>
        <w:t xml:space="preserve">  单位和个人在生产建设等活动中发现化石的，应当保护现场，并及时向当地的县国土资源行政管理部门报告。县国土资源行政管理部门应当在接到报告之日起三日内提出处理意见，并将处理意见报省国土资源行政管理部门备案。遇有重大发现的，当地国土资源行政管理部门必须及时上报省国土资源行政管理部门，省国土资源行政管理部门应当在七日内提出处理意见。</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依照前款规定发现的化石，任何单位或者个人不得哄抢、私分、藏匿。</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第十条</w:t>
      </w:r>
      <w:r>
        <w:rPr>
          <w:rFonts w:ascii="仿宋" w:hAnsi="仿宋" w:cs="仿宋" w:hint="eastAsia" w:eastAsia="仿宋"/>
          <w:sz w:val="32"/>
          <w:szCs w:val="32"/>
        </w:rPr>
        <w:t xml:space="preserve">  对具有重大科学文化价值的化石分布区，应当按照《中华人民共和国自然保护区条例》的有关规定建立省级、市级化石保护区或者申请建立国家级化石保护区。管理化石保护区所需经费，由化石保护区所在地的县级以上地方人民政府安排。</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第十一条</w:t>
      </w:r>
      <w:r>
        <w:rPr>
          <w:rFonts w:ascii="仿宋" w:hAnsi="仿宋" w:cs="仿宋" w:hint="eastAsia" w:eastAsia="仿宋"/>
          <w:sz w:val="32"/>
          <w:szCs w:val="32"/>
        </w:rPr>
        <w:t xml:space="preserve">  符合化石保护规划，具有确保化石安全的防护设施、技术条件的单位和个人，可以建立化石博物馆。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国有化石博物馆的事业性收入必须专门用于化石的保护，任何单位和个人不得侵占、挪用。</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第十二条</w:t>
      </w:r>
      <w:r>
        <w:rPr>
          <w:rFonts w:ascii="仿宋" w:hAnsi="仿宋" w:cs="仿宋" w:hint="eastAsia" w:eastAsia="仿宋"/>
          <w:sz w:val="32"/>
          <w:szCs w:val="32"/>
        </w:rPr>
        <w:t xml:space="preserve">  化石博物馆以及其他化石收藏单位，应当建立馆藏化石档案以及馆藏化石安全制度和定期检查制度，并报主管的国土资源行政管理部门备案。国有化石收藏单位的法定代表人变更时，应当办理馆藏化石移交手续。</w:t>
      </w:r>
    </w:p>
    <w:p>
      <w:pPr>
        <w:pStyle w:val="Normal"/>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第十三条</w:t>
      </w:r>
      <w:r>
        <w:rPr>
          <w:rFonts w:ascii="仿宋" w:hAnsi="仿宋" w:cs="仿宋" w:hint="eastAsia" w:eastAsia="仿宋"/>
          <w:sz w:val="32"/>
          <w:szCs w:val="32"/>
        </w:rPr>
        <w:t xml:space="preserve">  </w:t>
      </w:r>
      <w:r>
        <w:rPr>
          <w:rFonts w:ascii="仿宋" w:hAnsi="仿宋" w:cs="仿宋" w:hint="eastAsia" w:eastAsia="仿宋"/>
          <w:sz w:val="32"/>
          <w:szCs w:val="32"/>
        </w:rPr>
        <w:t>禁止任何单位和个人擅自采掘化石。</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科研机构、高等院校、化石博物馆等单位为了科学研究目的，需要采掘化石的，应当符合国务院《古生物化石保护条例》规定的条件，在向省国土资源行政管理部门提出申请时提交其符合规定条件的证明材料以及发掘项目概况、发掘方案、发掘标本保存方案和发掘区自然生态条件恢复方案。发掘方案、发掘标本保存方案和发掘区自然生态条件恢复方案切实可行的，予以批准；对不符合条件的，书面通知申请单位并说明理由。省国土资源行政管理部门应当自受理申请之日起三十个工作日内完成审查，并听取古生物专家的意见。</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第十四条</w:t>
      </w:r>
      <w:r>
        <w:rPr>
          <w:rFonts w:ascii="仿宋" w:hAnsi="仿宋" w:cs="仿宋" w:hint="eastAsia" w:eastAsia="仿宋"/>
          <w:sz w:val="32"/>
          <w:szCs w:val="32"/>
        </w:rPr>
        <w:t xml:space="preserve">  采掘单位必须按照经专家评审的采掘方案进行采掘，并遵守操作规程，保护环境，防止破坏化石和化石产地。</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县国土资源行政管理部门应当对化石采掘活动进行监督管理，对违反本条例的采掘活动应当会同有关部门及时予以制止。</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第十五条</w:t>
      </w:r>
      <w:r>
        <w:rPr>
          <w:rFonts w:ascii="仿宋" w:hAnsi="仿宋" w:cs="仿宋" w:hint="eastAsia" w:eastAsia="仿宋"/>
          <w:sz w:val="32"/>
          <w:szCs w:val="32"/>
        </w:rPr>
        <w:t xml:space="preserve">  采掘单位在采掘活动结束后三十日内，应当将采掘获得的全部化石清单如实报采掘所在地的县国土资源行政管理部门备案。</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采掘出的重点保护化石，应当交由省国土资源行政管理部门指定的国有化石博物馆或者其他符合规定条件的化石收藏单位保存；确有需要的，可以由有关科研机构或者高等院校保存。</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采掘后不需收藏的非重点保护化石，由国土资源行政管理部门处置。具体办法由省国土资源行政管理部门另行制定。</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第十六条</w:t>
      </w:r>
      <w:r>
        <w:rPr>
          <w:rFonts w:ascii="仿宋" w:hAnsi="仿宋" w:cs="仿宋" w:hint="eastAsia" w:eastAsia="仿宋"/>
          <w:sz w:val="32"/>
          <w:szCs w:val="32"/>
        </w:rPr>
        <w:t xml:space="preserve">  鼓励单位和个人将收藏的化石捐赠给国有化石博物馆或者其他符合规定条件的化石收藏单位收藏。</w:t>
      </w:r>
    </w:p>
    <w:p>
      <w:pPr>
        <w:pStyle w:val="Normal"/>
        <w:widowControl/>
        <w:ind w:firstLineChars="196" w:startChars="0" w:start="0" w:endChars="0" w:end="0"/>
        <w:jc w:val="start"/>
        <w:rPr>
          <w:rFonts w:ascii="仿宋" w:hAnsi="仿宋" w:eastAsia="仿宋" w:cs="宋体" w:hint="eastAsia"/>
          <w:color w:val="000000"/>
          <w:kern w:val="0"/>
          <w:sz w:val="32"/>
          <w:szCs w:val="32"/>
        </w:rPr>
      </w:pPr>
      <w:r>
        <w:rPr>
          <w:rFonts w:ascii="黑体" w:hAnsi="黑体" w:cs="黑体" w:hint="eastAsia" w:eastAsia="黑体"/>
          <w:sz w:val="32"/>
          <w:szCs w:val="32"/>
        </w:rPr>
        <w:t>第十七条</w:t>
      </w:r>
      <w:r>
        <w:rPr>
          <w:rFonts w:ascii="仿宋" w:hAnsi="仿宋" w:cs="仿宋" w:hint="eastAsia" w:eastAsia="仿宋"/>
          <w:sz w:val="32"/>
          <w:szCs w:val="32"/>
        </w:rPr>
        <w:t xml:space="preserve">  </w:t>
      </w:r>
      <w:r>
        <w:rPr>
          <w:rFonts w:ascii="仿宋" w:hAnsi="仿宋" w:cs="宋体" w:hint="eastAsia" w:eastAsia="仿宋"/>
          <w:bCs/>
          <w:color w:val="000000"/>
          <w:kern w:val="0"/>
          <w:sz w:val="32"/>
          <w:szCs w:val="32"/>
        </w:rPr>
        <w:t>禁止收购、销售重点保护化石。</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仿宋" w:hAnsi="仿宋" w:cs="宋体" w:hint="eastAsia" w:eastAsia="仿宋"/>
          <w:bCs/>
          <w:color w:val="000000"/>
          <w:kern w:val="0"/>
          <w:sz w:val="32"/>
          <w:szCs w:val="32"/>
        </w:rPr>
        <w:t>经营非重点保护化石的单位和个人，应当经市国土资源行政管理部门批准。</w:t>
      </w:r>
    </w:p>
    <w:p>
      <w:pPr>
        <w:pStyle w:val="Normal"/>
        <w:widowControl/>
        <w:ind w:firstLineChars="200" w:startChars="0" w:start="0" w:endChars="0" w:end="0"/>
        <w:jc w:val="start"/>
        <w:rPr>
          <w:rFonts w:ascii="仿宋" w:hAnsi="仿宋" w:eastAsia="仿宋" w:cs="宋体" w:hint="eastAsia"/>
          <w:color w:val="000000"/>
          <w:kern w:val="0"/>
          <w:sz w:val="32"/>
          <w:szCs w:val="32"/>
        </w:rPr>
      </w:pPr>
      <w:r>
        <w:rPr>
          <w:rFonts w:ascii="仿宋" w:hAnsi="仿宋" w:cs="宋体" w:hint="eastAsia" w:eastAsia="仿宋"/>
          <w:bCs/>
          <w:color w:val="000000"/>
          <w:kern w:val="0"/>
          <w:sz w:val="32"/>
          <w:szCs w:val="32"/>
        </w:rPr>
        <w:t>销售非重点保护化石应当在县级以上地方人民政府指定的场所交易。</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第十八条</w:t>
      </w:r>
      <w:r>
        <w:rPr>
          <w:rFonts w:ascii="仿宋" w:hAnsi="仿宋" w:cs="仿宋" w:hint="eastAsia" w:eastAsia="仿宋"/>
          <w:sz w:val="32"/>
          <w:szCs w:val="32"/>
        </w:rPr>
        <w:t xml:space="preserve">  化石科研机构利用我省化石进行科学研究的，应当在科研项目结束后三十日内向省国土资源行政管理部门提交科研报告副本；与国外组织、个人利用我省化石进行科学研究的，应当签订项目合作研究协议，合作研究中采集的化石归中方依法保存。</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第十九条</w:t>
      </w:r>
      <w:r>
        <w:rPr>
          <w:rFonts w:ascii="仿宋" w:hAnsi="仿宋" w:cs="仿宋" w:hint="eastAsia" w:eastAsia="仿宋"/>
          <w:sz w:val="32"/>
          <w:szCs w:val="32"/>
        </w:rPr>
        <w:t xml:space="preserve">  因科学研究、教学、科普展览等需要将化石运送出境的，必须经省国土资源行政管理部门审查同意，报国土资源部批准。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利用化石和化石产地拍摄电影、电视，在国内进行学术交流或者举办展览等活动，拍摄单位或者举办单位应当制定化石保护预案，落实保护措施。县国土资源行政管理部门应当对拍摄单位或者举办单位的活动进行监督。</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第二十条</w:t>
      </w:r>
      <w:r>
        <w:rPr>
          <w:rFonts w:ascii="仿宋" w:hAnsi="仿宋" w:cs="仿宋" w:hint="eastAsia" w:eastAsia="仿宋"/>
          <w:sz w:val="32"/>
          <w:szCs w:val="32"/>
        </w:rPr>
        <w:t xml:space="preserve">  违反本条例规定，有下列行为之一的，由县级以上国土资源行政管理部门责令限期改正，并处以五百元以上两万元以下罚款；有违法所得的，予以没收：</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（一）国有化石收藏单位法定代表人变更时，未办理馆藏化石移交手续的；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（二）采掘单位未将采掘获得的全部化石清单如实报国土资源行政管理部门备案的。</w:t>
      </w:r>
    </w:p>
    <w:p>
      <w:pPr>
        <w:pStyle w:val="Normal"/>
        <w:ind w:firstLineChars="196" w:startChars="0" w:start="0" w:endChars="0" w:end="0"/>
        <w:rPr>
          <w:rFonts w:ascii="仿宋" w:hAnsi="仿宋" w:eastAsia="仿宋" w:cs="仿宋" w:hint="eastAsia"/>
          <w:sz w:val="32"/>
          <w:szCs w:val="32"/>
        </w:rPr>
      </w:pPr>
      <w:r>
        <w:rPr>
          <w:rFonts w:ascii="黑体" w:hAnsi="黑体" w:cs="黑体" w:hint="eastAsia" w:eastAsia="黑体"/>
          <w:sz w:val="32"/>
          <w:szCs w:val="32"/>
        </w:rPr>
        <w:t>第二十一条</w:t>
      </w:r>
      <w:r>
        <w:rPr>
          <w:rFonts w:ascii="仿宋" w:hAnsi="仿宋" w:cs="仿宋" w:hint="eastAsia" w:eastAsia="仿宋"/>
          <w:sz w:val="32"/>
          <w:szCs w:val="32"/>
        </w:rPr>
        <w:t xml:space="preserve">  </w:t>
      </w:r>
      <w:r>
        <w:rPr>
          <w:rFonts w:ascii="仿宋" w:hAnsi="仿宋" w:cs="仿宋" w:hint="eastAsia" w:eastAsia="仿宋"/>
          <w:sz w:val="32"/>
          <w:szCs w:val="32"/>
        </w:rPr>
        <w:t>违反本条例规定，有下列行为之一的，由工商行政管理部门没收违法所得、非法经营的化石，违法经营额五万元以上的，并处以违法经营额一倍以上三倍以下的罚款；违法经营额不足五万元的，并处以五万元以下的罚款；情节严重的，由原发证机关吊销许可证书：</w:t>
      </w:r>
    </w:p>
    <w:p>
      <w:pPr>
        <w:pStyle w:val="Normal"/>
        <w:ind w:firstLineChars="196" w:startChars="0" w:start="0" w:endChars="0" w:end="0"/>
        <w:rPr>
          <w:rFonts w:ascii="仿宋" w:hAnsi="仿宋" w:eastAsia="仿宋" w:cs="仿宋" w:hint="eastAsia"/>
          <w:sz w:val="32"/>
          <w:szCs w:val="32"/>
        </w:rPr>
      </w:pPr>
      <w:r>
        <w:rPr>
          <w:rFonts w:ascii="仿宋" w:hAnsi="仿宋" w:cs="仿宋" w:hint="eastAsia" w:eastAsia="仿宋"/>
          <w:sz w:val="32"/>
          <w:szCs w:val="32"/>
        </w:rPr>
        <w:t>（一）未经批准擅自经营非重点保护化石的；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（二）未在指定的场所销售非重点保护化石的。</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第二十二条</w:t>
      </w:r>
      <w:r>
        <w:rPr>
          <w:rFonts w:ascii="仿宋" w:hAnsi="仿宋" w:cs="仿宋" w:hint="eastAsia" w:eastAsia="仿宋"/>
          <w:sz w:val="32"/>
          <w:szCs w:val="32"/>
        </w:rPr>
        <w:t xml:space="preserve">  违反本条例规定，国土资源行政管理部门及其化石管理机构的工作人员有下列行为之一的，由其所在单位或者上级主管部门给予行政处分：</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（一）接到发现化石报告或者遇有重要发现不在规定时间内提出处理意见或者上报的；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（二）未按照规定审批采掘方案的；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（三）违反规定审查同意化石出国（境），给国家造成损失的；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（四）参与化石经营的；</w:t>
      </w:r>
    </w:p>
    <w:p>
      <w:pPr>
        <w:pStyle w:val="Normal"/>
        <w:ind w:firstLineChars="200" w:startChars="0" w:start="0" w:endChars="0" w:end="0"/>
        <w:rPr>
          <w:rFonts w:ascii="仿宋" w:hAnsi="仿宋" w:eastAsia="仿宋" w:cs="仿宋" w:hint="eastAsia"/>
          <w:sz w:val="32"/>
          <w:szCs w:val="32"/>
        </w:rPr>
      </w:pPr>
      <w:r>
        <w:rPr>
          <w:rFonts w:ascii="仿宋" w:hAnsi="仿宋" w:cs="仿宋" w:hint="eastAsia" w:eastAsia="仿宋"/>
          <w:sz w:val="32"/>
          <w:szCs w:val="32"/>
        </w:rPr>
        <w:t>（五）其他滥用职权、徇私舞弊的行为。</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第二十三条</w:t>
      </w:r>
      <w:r>
        <w:rPr>
          <w:rFonts w:ascii="仿宋" w:hAnsi="仿宋" w:cs="仿宋" w:hint="eastAsia" w:eastAsia="仿宋"/>
          <w:sz w:val="32"/>
          <w:szCs w:val="32"/>
        </w:rPr>
        <w:t xml:space="preserve">  国有化石博物馆以及其他国有化石收藏单位的工作人员丢失、故意损坏馆藏化石或者私自出售、赠送给其他单位和个人，尚不构成犯罪的，责令其赔偿或者追回化石，并由其所在单位或者上级主管部门给予行政处分。</w:t>
      </w:r>
    </w:p>
    <w:p>
      <w:pPr>
        <w:pStyle w:val="Normal"/>
        <w:rPr>
          <w:rFonts w:ascii="仿宋" w:hAnsi="仿宋" w:eastAsia="仿宋" w:cs="仿宋" w:hint="eastAsia"/>
          <w:sz w:val="32"/>
          <w:szCs w:val="32"/>
        </w:rPr>
      </w:pPr>
      <w:r>
        <w:rPr>
          <w:rFonts w:eastAsia="仿宋" w:cs="仿宋" w:hint="eastAsia" w:ascii="仿宋" w:hAnsi="仿宋"/>
          <w:sz w:val="32"/>
          <w:szCs w:val="32"/>
        </w:rPr>
        <w:t xml:space="preserve">   </w:t>
      </w:r>
      <w:r>
        <w:rPr>
          <w:rFonts w:eastAsia="黑体" w:cs="黑体" w:hint="eastAsia" w:ascii="黑体" w:hAnsi="黑体"/>
          <w:sz w:val="32"/>
          <w:szCs w:val="32"/>
        </w:rPr>
        <w:t xml:space="preserve">  </w:t>
      </w:r>
      <w:r>
        <w:rPr>
          <w:rFonts w:ascii="黑体" w:hAnsi="黑体" w:cs="黑体" w:hint="eastAsia" w:eastAsia="黑体"/>
          <w:sz w:val="32"/>
          <w:szCs w:val="32"/>
        </w:rPr>
        <w:t>第二十四条</w:t>
      </w:r>
      <w:r>
        <w:rPr>
          <w:rFonts w:ascii="仿宋" w:hAnsi="仿宋" w:cs="仿宋" w:hint="eastAsia" w:eastAsia="仿宋"/>
          <w:sz w:val="32"/>
          <w:szCs w:val="32"/>
        </w:rPr>
        <w:t xml:space="preserve">  公安、工商、海关等部门依法没收的化石，应当登记造册，妥善保管，结案后应当无偿移交国土资源行政管理部门，由国土资源行政管理部门指定的国有化石收藏单位收藏。</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第二十五条</w:t>
      </w:r>
      <w:r>
        <w:rPr>
          <w:rFonts w:ascii="仿宋" w:hAnsi="仿宋" w:cs="仿宋" w:hint="eastAsia" w:eastAsia="仿宋"/>
          <w:sz w:val="32"/>
          <w:szCs w:val="32"/>
        </w:rPr>
        <w:t xml:space="preserve">  本条例中重点保护化石和非重点保护化石的名录及其调整，由省国土资源行政管理部门制定并定期向社会公布。</w:t>
      </w:r>
    </w:p>
    <w:p>
      <w:pPr>
        <w:pStyle w:val="Normal"/>
        <w:ind w:firstLineChars="200" w:startChars="0" w:start="0" w:endChars="0" w:end="0"/>
        <w:rPr>
          <w:rFonts w:ascii="仿宋" w:hAnsi="仿宋" w:eastAsia="仿宋" w:cs="仿宋" w:hint="eastAsia"/>
          <w:sz w:val="32"/>
          <w:szCs w:val="32"/>
        </w:rPr>
      </w:pPr>
      <w:r>
        <w:rPr>
          <w:rFonts w:ascii="黑体" w:hAnsi="黑体" w:cs="黑体" w:hint="eastAsia" w:eastAsia="黑体"/>
          <w:sz w:val="32"/>
          <w:szCs w:val="32"/>
        </w:rPr>
        <w:t xml:space="preserve">第二十六条 </w:t>
      </w:r>
      <w:r>
        <w:rPr>
          <w:rFonts w:ascii="仿宋" w:hAnsi="仿宋" w:cs="仿宋" w:hint="eastAsia" w:eastAsia="仿宋"/>
          <w:sz w:val="32"/>
          <w:szCs w:val="32"/>
        </w:rPr>
        <w:t xml:space="preserve"> 本条例自</w:t>
      </w:r>
      <w:r>
        <w:rPr>
          <w:rFonts w:eastAsia="仿宋" w:cs="仿宋" w:hint="eastAsia" w:ascii="仿宋" w:hAnsi="仿宋"/>
          <w:sz w:val="32"/>
          <w:szCs w:val="32"/>
        </w:rPr>
        <w:t>2005</w:t>
      </w:r>
      <w:r>
        <w:rPr>
          <w:rFonts w:ascii="仿宋" w:hAnsi="仿宋" w:cs="仿宋" w:hint="eastAsia" w:eastAsia="仿宋"/>
          <w:sz w:val="32"/>
          <w:szCs w:val="32"/>
        </w:rPr>
        <w:t>年</w:t>
      </w:r>
      <w:r>
        <w:rPr>
          <w:rFonts w:eastAsia="仿宋" w:cs="仿宋" w:hint="eastAsia" w:ascii="仿宋" w:hAnsi="仿宋"/>
          <w:sz w:val="32"/>
          <w:szCs w:val="32"/>
        </w:rPr>
        <w:t>8</w:t>
      </w:r>
      <w:r>
        <w:rPr>
          <w:rFonts w:ascii="仿宋" w:hAnsi="仿宋" w:cs="仿宋" w:hint="eastAsia" w:eastAsia="仿宋"/>
          <w:sz w:val="32"/>
          <w:szCs w:val="32"/>
        </w:rPr>
        <w:t>月</w:t>
      </w:r>
      <w:r>
        <w:rPr>
          <w:rFonts w:eastAsia="仿宋" w:cs="仿宋" w:hint="eastAsia" w:ascii="仿宋" w:hAnsi="仿宋"/>
          <w:sz w:val="32"/>
          <w:szCs w:val="32"/>
        </w:rPr>
        <w:t>1</w:t>
      </w:r>
      <w:r>
        <w:rPr>
          <w:rFonts w:ascii="仿宋" w:hAnsi="仿宋" w:cs="仿宋" w:hint="eastAsia" w:eastAsia="仿宋"/>
          <w:sz w:val="32"/>
          <w:szCs w:val="32"/>
        </w:rPr>
        <w:t>日起施行。</w:t>
      </w:r>
      <w:r>
        <w:rPr>
          <w:rFonts w:eastAsia="仿宋" w:cs="仿宋" w:hint="eastAsia" w:ascii="仿宋" w:hAnsi="仿宋"/>
          <w:sz w:val="32"/>
          <w:szCs w:val="32"/>
        </w:rPr>
        <w:t>2001</w:t>
      </w:r>
      <w:r>
        <w:rPr>
          <w:rFonts w:ascii="仿宋" w:hAnsi="仿宋" w:cs="仿宋" w:hint="eastAsia" w:eastAsia="仿宋"/>
          <w:sz w:val="32"/>
          <w:szCs w:val="32"/>
        </w:rPr>
        <w:t>年</w:t>
      </w:r>
      <w:r>
        <w:rPr>
          <w:rFonts w:eastAsia="仿宋" w:cs="仿宋" w:hint="eastAsia" w:ascii="仿宋" w:hAnsi="仿宋"/>
          <w:sz w:val="32"/>
          <w:szCs w:val="32"/>
        </w:rPr>
        <w:t>1</w:t>
      </w:r>
      <w:r>
        <w:rPr>
          <w:rFonts w:ascii="仿宋" w:hAnsi="仿宋" w:cs="仿宋" w:hint="eastAsia" w:eastAsia="仿宋"/>
          <w:sz w:val="32"/>
          <w:szCs w:val="32"/>
        </w:rPr>
        <w:t>月</w:t>
      </w:r>
      <w:r>
        <w:rPr>
          <w:rFonts w:eastAsia="仿宋" w:cs="仿宋" w:hint="eastAsia" w:ascii="仿宋" w:hAnsi="仿宋"/>
          <w:sz w:val="32"/>
          <w:szCs w:val="32"/>
        </w:rPr>
        <w:t>12</w:t>
      </w:r>
      <w:r>
        <w:rPr>
          <w:rFonts w:ascii="仿宋" w:hAnsi="仿宋" w:cs="仿宋" w:hint="eastAsia" w:eastAsia="仿宋"/>
          <w:sz w:val="32"/>
          <w:szCs w:val="32"/>
        </w:rPr>
        <w:t>日辽宁省第九届人民代表大会常务委员会第二十次会议通过的《辽宁省古生物化石资源保护管理条例》同时废止。</w:t>
      </w:r>
    </w:p>
    <w:p>
      <w:pPr>
        <w:pStyle w:val="Normal"/>
        <w:rPr>
          <w:rFonts w:ascii="仿宋" w:hAnsi="仿宋" w:eastAsia="仿宋" w:cs="仿宋"/>
          <w:sz w:val="32"/>
          <w:szCs w:val="32"/>
        </w:rPr>
      </w:pPr>
      <w:r>
        <w:rPr>
          <w:rFonts w:eastAsia="仿宋" w:cs="仿宋" w:ascii="仿宋" w:hAnsi="仿宋"/>
          <w:sz w:val="32"/>
          <w:szCs w:val="32"/>
        </w:rPr>
        <w:t xml:space="preserve"> </w:t>
      </w:r>
    </w:p>
    <w:p>
      <w:pPr>
        <w:pStyle w:val="Normal"/>
        <w:rPr>
          <w:rFonts w:ascii="仿宋" w:hAnsi="仿宋" w:eastAsia="仿宋" w:cs="仿宋"/>
          <w:sz w:val="32"/>
          <w:szCs w:val="32"/>
        </w:rPr>
      </w:pPr>
      <w:r>
        <w:rPr>
          <w:rFonts w:eastAsia="仿宋" w:cs="仿宋" w:ascii="仿宋" w:hAnsi="仿宋"/>
          <w:sz w:val="32"/>
          <w:szCs w:val="32"/>
        </w:rPr>
      </w:r>
    </w:p>
    <w:sectPr>
      <w:footerReference w:type="default" r:id="rId2"/>
      <w:type w:val="nextPage"/>
      <w:pgSz w:w="11906" w:h="16838"/>
      <w:pgMar w:left="1361" w:right="1361" w:gutter="0" w:header="0" w:top="1701" w:footer="992" w:bottom="1985"/>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charset w:val="86"/>
    <w:family w:val="auto"/>
    <w:pitch w:val="default"/>
  </w:font>
  <w:font w:name="楷体">
    <w:charset w:val="86"/>
    <w:family w:val="modern"/>
    <w:pitch w:val="default"/>
  </w:font>
  <w:font w:name="仿宋">
    <w:charset w:val="86"/>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8" behindDoc="0" locked="0" layoutInCell="0" allowOverlap="1">
              <wp:simplePos x="0" y="0"/>
              <wp:positionH relativeFrom="margin">
                <wp:align>center</wp:align>
              </wp:positionH>
              <wp:positionV relativeFrom="paragraph">
                <wp:posOffset>635</wp:posOffset>
              </wp:positionV>
              <wp:extent cx="57785" cy="131445"/>
              <wp:effectExtent l="0" t="0" r="0" b="0"/>
              <wp:wrapSquare wrapText="bothSides"/>
              <wp:docPr id="1" name="Frame1"/>
              <a:graphic xmlns:a="http://schemas.openxmlformats.org/drawingml/2006/main">
                <a:graphicData uri="http://schemas.microsoft.com/office/word/2010/wordprocessingShape">
                  <wps:wsp>
                    <wps:cNvSpPr txBox="1"/>
                    <wps:spPr>
                      <a:xfrm>
                        <a:off x="0" y="0"/>
                        <a:ext cx="57785" cy="131445"/>
                      </a:xfrm>
                      <a:prstGeom prst="rect"/>
                      <a:solidFill>
                        <a:srgbClr val="FFFFFF">
                          <a:alpha val="0"/>
                        </a:srgbClr>
                      </a:solidFill>
                    </wps:spPr>
                    <wps:txbx>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wps:txbx>
                    <wps:bodyPr anchor="t" lIns="0" tIns="0" rIns="0" bIns="0">
                      <a:noAutofit/>
                    </wps:bodyPr>
                  </wps:wsp>
                </a:graphicData>
              </a:graphic>
            </wp:anchor>
          </w:drawing>
        </mc:Choice>
        <mc:Fallback>
          <w:pict>
            <v:rect fillcolor="#FFFFFF" style="position:absolute;rotation:-0;width:4.55pt;height:10.35pt;mso-wrap-distance-left:0pt;mso-wrap-distance-right:0pt;mso-wrap-distance-top:0pt;mso-wrap-distance-bottom:0pt;margin-top:0.05pt;mso-position-vertical-relative:text;margin-left:227.35pt;mso-position-horizontal:center;mso-position-horizontal-relative:margin">
              <v:fill opacity="0f"/>
              <v:textbox inset="0in,0in,0in,0in">
                <w:txbxContent>
                  <w:p>
                    <w:pPr>
                      <w:pStyle w:val="Footer"/>
                      <w:rPr>
                        <w:rStyle w:val="PageNumber"/>
                      </w:rPr>
                    </w:pPr>
                    <w:r>
                      <w:rPr/>
                      <w:fldChar w:fldCharType="begin"/>
                    </w:r>
                    <w:r>
                      <w:rPr/>
                      <w:instrText xml:space="preserve"> PAGE </w:instrText>
                    </w:r>
                    <w:r>
                      <w:rPr/>
                      <w:fldChar w:fldCharType="separate"/>
                    </w:r>
                    <w:r>
                      <w:rPr/>
                      <w:t>7</w:t>
                    </w:r>
                    <w:r>
                      <w:rPr/>
                      <w:fldChar w:fldCharType="end"/>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2016-05-30T10:04:00Z</dcterms:created>
  <dc:creator>lenovo</dc:creator>
  <dc:description/>
  <dc:language>en-US</dc:language>
  <cp:lastModifiedBy>爱小麦</cp:lastModifiedBy>
  <dcterms:modified xsi:type="dcterms:W3CDTF">2018-03-29T17:41:09Z</dcterms:modified>
  <cp:revision>4</cp:revision>
  <dc:subject/>
  <dc:title>辽宁省古生物化石保护条例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2052-10.1.0.7223</vt:lpwstr>
  </property>
</Properties>
</file>