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widowControl w:val="false"/>
        <w:kinsoku w:val="true"/>
        <w:overflowPunct w:val="true"/>
        <w:autoSpaceDE w:val="true"/>
        <w:bidi w:val="0"/>
        <w:snapToGrid w:val="true"/>
        <w:spacing w:lineRule="exact" w:line="580" w:before="0" w:after="0"/>
        <w:textAlignment w:val="auto"/>
        <w:rPr>
          <w:rFonts w:ascii="宋体" w:hAnsi="宋体" w:eastAsia="宋体" w:cs="仿宋" w:hint="eastAsia"/>
          <w:sz w:val="32"/>
          <w:szCs w:val="32"/>
        </w:rPr>
      </w:pPr>
      <w:r>
        <w:rPr>
          <w:rFonts w:eastAsia="宋体" w:cs="仿宋" w:hint="eastAsia" w:ascii="宋体" w:hAnsi="宋体"/>
          <w:sz w:val="32"/>
          <w:szCs w:val="32"/>
        </w:rPr>
      </w:r>
    </w:p>
    <w:p>
      <w:pPr>
        <w:pStyle w:val="Normal"/>
        <w:pageBreakBefore w:val="false"/>
        <w:widowControl w:val="false"/>
        <w:kinsoku w:val="true"/>
        <w:overflowPunct w:val="true"/>
        <w:autoSpaceDE w:val="true"/>
        <w:bidi w:val="0"/>
        <w:snapToGrid w:val="true"/>
        <w:spacing w:lineRule="exact" w:line="580" w:before="0" w:after="0"/>
        <w:jc w:val="center"/>
        <w:textAlignment w:val="auto"/>
        <w:rPr>
          <w:rFonts w:ascii="宋体" w:hAnsi="宋体" w:cs="宋体"/>
          <w:b/>
          <w:sz w:val="44"/>
          <w:szCs w:val="44"/>
        </w:rPr>
      </w:pPr>
      <w:r>
        <w:rPr>
          <w:rFonts w:ascii="宋体" w:hAnsi="宋体" w:cs="宋体" w:hint="eastAsia"/>
          <w:b/>
          <w:sz w:val="44"/>
          <w:szCs w:val="44"/>
        </w:rPr>
        <w:t>辽宁省档案条例</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b/>
          <w:sz w:val="32"/>
          <w:szCs w:val="32"/>
        </w:rPr>
      </w:pPr>
      <w:r>
        <w:rPr>
          <w:rFonts w:eastAsia="仿宋" w:cs="仿宋" w:ascii="仿宋" w:hAnsi="仿宋"/>
          <w:b/>
          <w:sz w:val="32"/>
          <w:szCs w:val="32"/>
        </w:rPr>
      </w:r>
    </w:p>
    <w:p>
      <w:pPr>
        <w:pStyle w:val="TOC1"/>
        <w:pageBreakBefore w:val="false"/>
        <w:widowControl w:val="false"/>
        <w:kinsoku w:val="true"/>
        <w:overflowPunct w:val="true"/>
        <w:autoSpaceDE w:val="true"/>
        <w:bidi w:val="0"/>
        <w:snapToGrid w:val="true"/>
        <w:spacing w:lineRule="exact" w:line="580" w:before="0" w:after="0"/>
        <w:textAlignment w:val="auto"/>
        <w:rPr>
          <w:rFonts w:ascii="宋体" w:hAnsi="宋体" w:eastAsia="宋体" w:cs="宋体" w:hint="eastAsia"/>
          <w:sz w:val="32"/>
          <w:szCs w:val="28"/>
        </w:rPr>
      </w:pPr>
      <w:r>
        <w:rPr>
          <w:rFonts w:ascii="楷体_GB2312" w:hAnsi="楷体_GB2312" w:cs="楷体_GB2312" w:hint="eastAsia" w:eastAsia="楷体_GB2312"/>
          <w:sz w:val="32"/>
          <w:szCs w:val="28"/>
        </w:rPr>
        <w:t>（</w:t>
      </w:r>
      <w:r>
        <w:rPr>
          <w:rFonts w:eastAsia="楷体_GB2312" w:cs="楷体_GB2312" w:hint="eastAsia" w:ascii="楷体_GB2312" w:hAnsi="楷体_GB2312"/>
          <w:sz w:val="32"/>
          <w:szCs w:val="28"/>
        </w:rPr>
        <w:t>1997</w:t>
      </w:r>
      <w:r>
        <w:rPr>
          <w:rFonts w:ascii="楷体_GB2312" w:hAnsi="楷体_GB2312" w:cs="楷体_GB2312" w:hint="eastAsia" w:eastAsia="楷体_GB2312"/>
          <w:sz w:val="32"/>
          <w:szCs w:val="28"/>
        </w:rPr>
        <w:t>年</w:t>
      </w:r>
      <w:r>
        <w:rPr>
          <w:rFonts w:eastAsia="楷体_GB2312" w:cs="楷体_GB2312" w:hint="eastAsia" w:ascii="楷体_GB2312" w:hAnsi="楷体_GB2312"/>
          <w:sz w:val="32"/>
          <w:szCs w:val="28"/>
        </w:rPr>
        <w:t>7</w:t>
      </w:r>
      <w:r>
        <w:rPr>
          <w:rFonts w:ascii="楷体_GB2312" w:hAnsi="楷体_GB2312" w:cs="楷体_GB2312" w:hint="eastAsia" w:eastAsia="楷体_GB2312"/>
          <w:sz w:val="32"/>
          <w:szCs w:val="28"/>
        </w:rPr>
        <w:t>月</w:t>
      </w:r>
      <w:r>
        <w:rPr>
          <w:rFonts w:eastAsia="楷体_GB2312" w:cs="楷体_GB2312" w:hint="eastAsia" w:ascii="楷体_GB2312" w:hAnsi="楷体_GB2312"/>
          <w:sz w:val="32"/>
          <w:szCs w:val="28"/>
        </w:rPr>
        <w:t>26</w:t>
      </w:r>
      <w:r>
        <w:rPr>
          <w:rFonts w:ascii="楷体_GB2312" w:hAnsi="楷体_GB2312" w:cs="楷体_GB2312" w:hint="eastAsia" w:eastAsia="楷体_GB2312"/>
          <w:sz w:val="32"/>
          <w:szCs w:val="28"/>
        </w:rPr>
        <w:t>日辽宁省第八届人民代表大会常务委员会第二十九次会议通过  根据</w:t>
      </w:r>
      <w:r>
        <w:rPr>
          <w:rFonts w:eastAsia="楷体_GB2312" w:cs="楷体_GB2312" w:hint="eastAsia" w:ascii="楷体_GB2312" w:hAnsi="楷体_GB2312"/>
          <w:sz w:val="32"/>
          <w:szCs w:val="28"/>
        </w:rPr>
        <w:t>2004</w:t>
      </w:r>
      <w:r>
        <w:rPr>
          <w:rFonts w:ascii="楷体_GB2312" w:hAnsi="楷体_GB2312" w:cs="楷体_GB2312" w:hint="eastAsia" w:eastAsia="楷体_GB2312"/>
          <w:sz w:val="32"/>
          <w:szCs w:val="28"/>
        </w:rPr>
        <w:t>年</w:t>
      </w:r>
      <w:r>
        <w:rPr>
          <w:rFonts w:eastAsia="楷体_GB2312" w:cs="楷体_GB2312" w:hint="eastAsia" w:ascii="楷体_GB2312" w:hAnsi="楷体_GB2312"/>
          <w:sz w:val="32"/>
          <w:szCs w:val="28"/>
        </w:rPr>
        <w:t>6</w:t>
      </w:r>
      <w:r>
        <w:rPr>
          <w:rFonts w:ascii="楷体_GB2312" w:hAnsi="楷体_GB2312" w:cs="楷体_GB2312" w:hint="eastAsia" w:eastAsia="楷体_GB2312"/>
          <w:sz w:val="32"/>
          <w:szCs w:val="28"/>
        </w:rPr>
        <w:t>月</w:t>
      </w:r>
      <w:r>
        <w:rPr>
          <w:rFonts w:eastAsia="楷体_GB2312" w:cs="楷体_GB2312" w:hint="eastAsia" w:ascii="楷体_GB2312" w:hAnsi="楷体_GB2312"/>
          <w:sz w:val="32"/>
          <w:szCs w:val="28"/>
        </w:rPr>
        <w:t>30</w:t>
      </w:r>
      <w:r>
        <w:rPr>
          <w:rFonts w:ascii="楷体_GB2312" w:hAnsi="楷体_GB2312" w:cs="楷体_GB2312" w:hint="eastAsia" w:eastAsia="楷体_GB2312"/>
          <w:sz w:val="32"/>
          <w:szCs w:val="28"/>
        </w:rPr>
        <w:t>日辽宁省第十届人民代表大会常务委员会第十二次会议《关于修改〈辽宁省档案条例〉的决定》第一次修正  根据</w:t>
      </w:r>
      <w:r>
        <w:rPr>
          <w:rFonts w:eastAsia="楷体_GB2312" w:cs="楷体_GB2312" w:hint="eastAsia" w:ascii="楷体_GB2312" w:hAnsi="楷体_GB2312"/>
          <w:sz w:val="32"/>
          <w:szCs w:val="28"/>
        </w:rPr>
        <w:t>2006</w:t>
      </w:r>
      <w:r>
        <w:rPr>
          <w:rFonts w:ascii="楷体_GB2312" w:hAnsi="楷体_GB2312" w:cs="楷体_GB2312" w:hint="eastAsia" w:eastAsia="楷体_GB2312"/>
          <w:sz w:val="32"/>
          <w:szCs w:val="28"/>
        </w:rPr>
        <w:t>年</w:t>
      </w:r>
      <w:r>
        <w:rPr>
          <w:rFonts w:eastAsia="楷体_GB2312" w:cs="楷体_GB2312" w:hint="eastAsia" w:ascii="楷体_GB2312" w:hAnsi="楷体_GB2312"/>
          <w:sz w:val="32"/>
          <w:szCs w:val="28"/>
        </w:rPr>
        <w:t>1</w:t>
      </w:r>
      <w:r>
        <w:rPr>
          <w:rFonts w:ascii="楷体_GB2312" w:hAnsi="楷体_GB2312" w:cs="楷体_GB2312" w:hint="eastAsia" w:eastAsia="楷体_GB2312"/>
          <w:sz w:val="32"/>
          <w:szCs w:val="28"/>
        </w:rPr>
        <w:t>月</w:t>
      </w:r>
      <w:r>
        <w:rPr>
          <w:rFonts w:eastAsia="楷体_GB2312" w:cs="楷体_GB2312" w:hint="eastAsia" w:ascii="楷体_GB2312" w:hAnsi="楷体_GB2312"/>
          <w:sz w:val="32"/>
          <w:szCs w:val="28"/>
        </w:rPr>
        <w:t>13</w:t>
      </w:r>
      <w:r>
        <w:rPr>
          <w:rFonts w:ascii="楷体_GB2312" w:hAnsi="楷体_GB2312" w:cs="楷体_GB2312" w:hint="eastAsia" w:eastAsia="楷体_GB2312"/>
          <w:sz w:val="32"/>
          <w:szCs w:val="28"/>
        </w:rPr>
        <w:t>日辽宁省第十届人民代表大会常务委员会第二十三次会议《关于修改〈辽宁省档案条例〉的决定》第二次修正  根据</w:t>
      </w:r>
      <w:r>
        <w:rPr>
          <w:rFonts w:eastAsia="楷体_GB2312" w:cs="楷体" w:hint="eastAsia" w:ascii="楷体_GB2312" w:hAnsi="楷体_GB2312"/>
          <w:sz w:val="32"/>
          <w:szCs w:val="28"/>
        </w:rPr>
        <w:t>2017</w:t>
      </w:r>
      <w:r>
        <w:rPr>
          <w:rFonts w:ascii="楷体_GB2312" w:hAnsi="楷体_GB2312" w:cs="楷体" w:hint="eastAsia" w:eastAsia="楷体_GB2312"/>
          <w:sz w:val="32"/>
          <w:szCs w:val="28"/>
        </w:rPr>
        <w:t>年</w:t>
      </w:r>
      <w:r>
        <w:rPr>
          <w:rFonts w:eastAsia="楷体_GB2312" w:cs="楷体" w:hint="eastAsia" w:ascii="楷体_GB2312" w:hAnsi="楷体_GB2312"/>
          <w:sz w:val="32"/>
          <w:szCs w:val="28"/>
        </w:rPr>
        <w:t>7</w:t>
      </w:r>
      <w:r>
        <w:rPr>
          <w:rFonts w:ascii="楷体_GB2312" w:hAnsi="楷体_GB2312" w:cs="楷体" w:hint="eastAsia" w:eastAsia="楷体_GB2312"/>
          <w:sz w:val="32"/>
          <w:szCs w:val="28"/>
        </w:rPr>
        <w:t>月</w:t>
      </w:r>
      <w:r>
        <w:rPr>
          <w:rFonts w:eastAsia="楷体_GB2312" w:cs="楷体" w:hint="eastAsia" w:ascii="楷体_GB2312" w:hAnsi="楷体_GB2312"/>
          <w:sz w:val="32"/>
          <w:szCs w:val="28"/>
        </w:rPr>
        <w:t>27</w:t>
      </w:r>
      <w:r>
        <w:rPr>
          <w:rFonts w:ascii="楷体_GB2312" w:hAnsi="楷体_GB2312" w:cs="楷体" w:hint="eastAsia" w:eastAsia="楷体_GB2312"/>
          <w:sz w:val="32"/>
          <w:szCs w:val="28"/>
        </w:rPr>
        <w:t>日辽宁省第十二届人民代表大会常务委员会第三十五次会议《</w:t>
      </w:r>
      <w:r>
        <w:rPr>
          <w:rFonts w:ascii="楷体_GB2312" w:hAnsi="楷体_GB2312" w:cs="楷体_GB2312" w:hint="eastAsia" w:eastAsia="楷体_GB2312"/>
          <w:bCs/>
          <w:sz w:val="32"/>
          <w:szCs w:val="28"/>
        </w:rPr>
        <w:t>关于修改</w:t>
      </w:r>
      <w:r>
        <w:rPr>
          <w:rFonts w:eastAsia="楷体_GB2312" w:cs="楷体_GB2312" w:hint="eastAsia" w:ascii="楷体_GB2312" w:hAnsi="楷体_GB2312"/>
          <w:color w:val="000000"/>
          <w:sz w:val="32"/>
          <w:szCs w:val="28"/>
        </w:rPr>
        <w:t>&lt;</w:t>
      </w:r>
      <w:r>
        <w:rPr>
          <w:rFonts w:ascii="楷体_GB2312" w:hAnsi="楷体_GB2312" w:cs="楷体_GB2312" w:hint="eastAsia" w:eastAsia="楷体_GB2312"/>
          <w:color w:val="000000"/>
          <w:sz w:val="32"/>
          <w:szCs w:val="28"/>
        </w:rPr>
        <w:t>辽宁省机动车污染防治条例</w:t>
      </w:r>
      <w:r>
        <w:rPr>
          <w:rFonts w:eastAsia="楷体_GB2312" w:cs="楷体_GB2312" w:hint="eastAsia" w:ascii="楷体_GB2312" w:hAnsi="楷体_GB2312"/>
          <w:color w:val="000000"/>
          <w:sz w:val="32"/>
          <w:szCs w:val="28"/>
        </w:rPr>
        <w:t>&gt;</w:t>
      </w:r>
      <w:r>
        <w:rPr>
          <w:rFonts w:ascii="楷体_GB2312" w:hAnsi="楷体_GB2312" w:cs="楷体_GB2312" w:hint="eastAsia" w:eastAsia="楷体_GB2312"/>
          <w:color w:val="000000"/>
          <w:sz w:val="32"/>
          <w:szCs w:val="28"/>
        </w:rPr>
        <w:t>等部分地方性法规的决定》第三次修正</w:t>
      </w:r>
      <w:r>
        <w:rPr>
          <w:rFonts w:ascii="楷体_GB2312" w:hAnsi="楷体_GB2312" w:cs="楷体_GB2312" w:hint="eastAsia" w:eastAsia="楷体_GB2312"/>
          <w:sz w:val="32"/>
          <w:szCs w:val="28"/>
        </w:rPr>
        <w:t>）</w:t>
      </w:r>
    </w:p>
    <w:p>
      <w:pPr>
        <w:pStyle w:val="Normal"/>
        <w:pageBreakBefore w:val="false"/>
        <w:widowControl w:val="false"/>
        <w:kinsoku w:val="true"/>
        <w:overflowPunct w:val="true"/>
        <w:autoSpaceDE w:val="true"/>
        <w:bidi w:val="0"/>
        <w:snapToGrid w:val="true"/>
        <w:spacing w:lineRule="exact" w:line="580" w:before="0" w:after="0"/>
        <w:textAlignment w:val="auto"/>
        <w:rPr>
          <w:rFonts w:ascii="宋体" w:hAnsi="宋体" w:eastAsia="宋体" w:cs="宋体" w:hint="eastAsia"/>
          <w:sz w:val="32"/>
          <w:szCs w:val="28"/>
        </w:rPr>
      </w:pPr>
      <w:r>
        <w:rPr>
          <w:rFonts w:eastAsia="宋体" w:cs="宋体" w:hint="eastAsia" w:ascii="宋体" w:hAnsi="宋体"/>
          <w:sz w:val="32"/>
          <w:szCs w:val="28"/>
        </w:rPr>
      </w:r>
    </w:p>
    <w:p>
      <w:pPr>
        <w:pStyle w:val="Normal"/>
        <w:pageBreakBefore w:val="false"/>
        <w:widowControl w:val="false"/>
        <w:kinsoku w:val="true"/>
        <w:overflowPunct w:val="true"/>
        <w:autoSpaceDE w:val="true"/>
        <w:bidi w:val="0"/>
        <w:snapToGrid w:val="true"/>
        <w:spacing w:lineRule="exact" w:line="580" w:before="0" w:after="0"/>
        <w:jc w:val="center"/>
        <w:textAlignment w:val="auto"/>
        <w:rPr>
          <w:rFonts w:ascii="宋体" w:hAnsi="宋体" w:eastAsia="宋体" w:cs="楷体" w:hint="eastAsia"/>
          <w:b/>
          <w:sz w:val="32"/>
          <w:szCs w:val="32"/>
        </w:rPr>
      </w:pPr>
      <w:r>
        <w:rPr>
          <w:rFonts w:ascii="宋体" w:hAnsi="宋体" w:cs="楷体" w:hint="eastAsia"/>
          <w:b/>
          <w:sz w:val="32"/>
          <w:szCs w:val="32"/>
        </w:rPr>
        <w:t>目    录</w:t>
      </w:r>
    </w:p>
    <w:p>
      <w:pPr>
        <w:pStyle w:val="Normal"/>
        <w:pageBreakBefore w:val="false"/>
        <w:widowControl w:val="false"/>
        <w:kinsoku w:val="true"/>
        <w:overflowPunct w:val="true"/>
        <w:autoSpaceDE w:val="true"/>
        <w:bidi w:val="0"/>
        <w:snapToGrid w:val="true"/>
        <w:spacing w:lineRule="exact" w:line="580" w:before="0" w:after="0"/>
        <w:jc w:val="center"/>
        <w:textAlignment w:val="auto"/>
        <w:rPr>
          <w:rFonts w:ascii="宋体" w:hAnsi="宋体" w:eastAsia="宋体" w:cs="楷体" w:hint="eastAsia"/>
          <w:b/>
          <w:sz w:val="32"/>
          <w:szCs w:val="32"/>
        </w:rPr>
      </w:pPr>
      <w:r>
        <w:rPr>
          <w:rFonts w:eastAsia="宋体" w:cs="楷体" w:hint="eastAsia" w:ascii="宋体" w:hAnsi="宋体"/>
          <w:b/>
          <w:sz w:val="32"/>
          <w:szCs w:val="32"/>
        </w:rPr>
      </w:r>
    </w:p>
    <w:p>
      <w:pPr>
        <w:pStyle w:val="Normal"/>
        <w:pageBreakBefore w:val="false"/>
        <w:widowControl w:val="false"/>
        <w:kinsoku w:val="true"/>
        <w:overflowPunct w:val="true"/>
        <w:autoSpaceDE w:val="true"/>
        <w:bidi w:val="0"/>
        <w:snapToGrid w:val="true"/>
        <w:spacing w:lineRule="exact" w:line="580" w:before="0" w:after="0"/>
        <w:jc w:val="start"/>
        <w:textAlignment w:val="auto"/>
        <w:rPr>
          <w:rFonts w:ascii="楷体_GB2312" w:hAnsi="楷体_GB2312" w:eastAsia="楷体_GB2312" w:cs="楷体" w:hint="eastAsia"/>
          <w:sz w:val="32"/>
          <w:szCs w:val="32"/>
        </w:rPr>
      </w:pPr>
      <w:r>
        <w:rPr>
          <w:rFonts w:eastAsia="楷体_GB2312" w:cs="楷体" w:hint="eastAsia" w:ascii="楷体_GB2312" w:hAnsi="楷体_GB2312"/>
          <w:sz w:val="32"/>
          <w:szCs w:val="32"/>
        </w:rPr>
        <w:t xml:space="preserve">    </w:t>
      </w:r>
    </w:p>
    <w:sdt>
      <w:sdtPr>
        <w:docPartObj>
          <w:docPartGallery w:val="Table of Contents"/>
          <w:docPartUnique w:val="true"/>
        </w:docPartObj>
      </w:sdtPr>
      <w:sdtContent>
        <w:p>
          <w:pPr>
            <w:pStyle w:val="Normal"/>
            <w:pageBreakBefore w:val="false"/>
            <w:widowControl w:val="false"/>
            <w:kinsoku w:val="true"/>
            <w:overflowPunct w:val="true"/>
            <w:autoSpaceDE w:val="true"/>
            <w:bidi w:val="0"/>
            <w:snapToGrid w:val="true"/>
            <w:spacing w:lineRule="exact" w:line="580" w:before="0" w:after="0"/>
            <w:jc w:val="start"/>
            <w:textAlignment w:val="auto"/>
            <w:rPr>
              <w:rFonts w:ascii="楷体_GB2312" w:hAnsi="楷体_GB2312" w:eastAsia="楷体_GB2312" w:cs="楷体_GB2312" w:hint="eastAsia"/>
              <w:sz w:val="32"/>
            </w:rPr>
          </w:pPr>
          <w:r>
            <w:fldChar w:fldCharType="begin"/>
          </w:r>
          <w:r>
            <w:rPr>
              <w:rStyle w:val="IndexLink"/>
              <w:rFonts w:ascii="楷体_GB2312" w:hAnsi="楷体_GB2312" w:cs="楷体_GB2312" w:hint="eastAsia" w:eastAsia="楷体_GB2312"/>
              <w:sz w:val="32"/>
            </w:rPr>
            <w:instrText xml:space="preserve">TOC \o "1-1" \n  \h \u </w:instrText>
          </w:r>
          <w:r>
            <w:rPr>
              <w:rStyle w:val="IndexLink"/>
              <w:rFonts w:ascii="楷体_GB2312" w:hAnsi="楷体_GB2312" w:cs="楷体_GB2312" w:hint="eastAsia" w:eastAsia="楷体_GB2312"/>
              <w:sz w:val="32"/>
            </w:rPr>
            <w:fldChar w:fldCharType="separate"/>
          </w:r>
          <w:hyperlink w:anchor="__RefHeading___Toc32583">
            <w:r>
              <w:rPr>
                <w:rStyle w:val="IndexLink"/>
                <w:rFonts w:ascii="楷体_GB2312" w:hAnsi="楷体_GB2312" w:cs="楷体_GB2312" w:hint="eastAsia" w:eastAsia="楷体_GB2312"/>
                <w:sz w:val="32"/>
              </w:rPr>
              <w:t>第一章  总则</w:t>
            </w:r>
          </w:hyperlink>
        </w:p>
        <w:p>
          <w:pPr>
            <w:pStyle w:val="Normal"/>
            <w:pageBreakBefore w:val="false"/>
            <w:widowControl w:val="false"/>
            <w:kinsoku w:val="true"/>
            <w:overflowPunct w:val="true"/>
            <w:autoSpaceDE w:val="true"/>
            <w:bidi w:val="0"/>
            <w:snapToGrid w:val="true"/>
            <w:spacing w:lineRule="exact" w:line="580" w:before="0" w:after="0"/>
            <w:jc w:val="start"/>
            <w:textAlignment w:val="auto"/>
            <w:rPr>
              <w:rFonts w:ascii="楷体_GB2312" w:hAnsi="楷体_GB2312" w:eastAsia="楷体_GB2312" w:cs="楷体_GB2312" w:hint="eastAsia"/>
              <w:sz w:val="32"/>
            </w:rPr>
          </w:pPr>
          <w:r>
            <w:rPr>
              <w:rFonts w:eastAsia="楷体_GB2312" w:cs="楷体_GB2312" w:hint="eastAsia" w:ascii="楷体_GB2312" w:hAnsi="楷体_GB2312"/>
              <w:sz w:val="32"/>
            </w:rPr>
            <w:t xml:space="preserve">    </w:t>
          </w:r>
          <w:hyperlink w:anchor="__RefHeading___Toc19291">
            <w:r>
              <w:rPr>
                <w:rStyle w:val="IndexLink"/>
                <w:rFonts w:ascii="楷体_GB2312" w:hAnsi="楷体_GB2312" w:cs="楷体_GB2312" w:hint="eastAsia" w:eastAsia="楷体_GB2312"/>
                <w:sz w:val="32"/>
              </w:rPr>
              <w:t>第二章  档案机构及其职责</w:t>
            </w:r>
          </w:hyperlink>
        </w:p>
        <w:p>
          <w:pPr>
            <w:pStyle w:val="Normal"/>
            <w:pageBreakBefore w:val="false"/>
            <w:widowControl w:val="false"/>
            <w:kinsoku w:val="true"/>
            <w:overflowPunct w:val="true"/>
            <w:autoSpaceDE w:val="true"/>
            <w:bidi w:val="0"/>
            <w:snapToGrid w:val="true"/>
            <w:spacing w:lineRule="exact" w:line="580" w:before="0" w:after="0"/>
            <w:jc w:val="start"/>
            <w:textAlignment w:val="auto"/>
            <w:rPr>
              <w:rFonts w:ascii="楷体_GB2312" w:hAnsi="楷体_GB2312" w:eastAsia="楷体_GB2312" w:cs="楷体_GB2312" w:hint="eastAsia"/>
              <w:sz w:val="32"/>
            </w:rPr>
          </w:pPr>
          <w:r>
            <w:rPr>
              <w:rFonts w:eastAsia="楷体_GB2312" w:cs="楷体_GB2312" w:hint="eastAsia" w:ascii="楷体_GB2312" w:hAnsi="楷体_GB2312"/>
              <w:sz w:val="32"/>
            </w:rPr>
            <w:t xml:space="preserve">    </w:t>
          </w:r>
          <w:hyperlink w:anchor="__RefHeading___Toc24488">
            <w:r>
              <w:rPr>
                <w:rStyle w:val="IndexLink"/>
                <w:rFonts w:ascii="楷体_GB2312" w:hAnsi="楷体_GB2312" w:cs="楷体_GB2312" w:hint="eastAsia" w:eastAsia="楷体_GB2312"/>
                <w:sz w:val="32"/>
              </w:rPr>
              <w:t>第三章  档案管理</w:t>
            </w:r>
          </w:hyperlink>
        </w:p>
        <w:p>
          <w:pPr>
            <w:pStyle w:val="Normal"/>
            <w:pageBreakBefore w:val="false"/>
            <w:widowControl w:val="false"/>
            <w:kinsoku w:val="true"/>
            <w:overflowPunct w:val="true"/>
            <w:autoSpaceDE w:val="true"/>
            <w:bidi w:val="0"/>
            <w:snapToGrid w:val="true"/>
            <w:spacing w:lineRule="exact" w:line="580" w:before="0" w:after="0"/>
            <w:jc w:val="start"/>
            <w:textAlignment w:val="auto"/>
            <w:rPr>
              <w:rFonts w:ascii="楷体_GB2312" w:hAnsi="楷体_GB2312" w:eastAsia="楷体_GB2312" w:cs="楷体_GB2312" w:hint="eastAsia"/>
              <w:sz w:val="32"/>
            </w:rPr>
          </w:pPr>
          <w:r>
            <w:rPr>
              <w:rFonts w:eastAsia="楷体_GB2312" w:cs="楷体_GB2312" w:hint="eastAsia" w:ascii="楷体_GB2312" w:hAnsi="楷体_GB2312"/>
              <w:sz w:val="32"/>
            </w:rPr>
            <w:t xml:space="preserve">    </w:t>
          </w:r>
          <w:hyperlink w:anchor="__RefHeading___Toc10835">
            <w:r>
              <w:rPr>
                <w:rStyle w:val="IndexLink"/>
                <w:rFonts w:ascii="楷体_GB2312" w:hAnsi="楷体_GB2312" w:cs="楷体_GB2312" w:hint="eastAsia" w:eastAsia="楷体_GB2312"/>
                <w:sz w:val="32"/>
              </w:rPr>
              <w:t>第四章  档案的利用和公布</w:t>
            </w:r>
          </w:hyperlink>
        </w:p>
        <w:p>
          <w:pPr>
            <w:pStyle w:val="Normal"/>
            <w:pageBreakBefore w:val="false"/>
            <w:widowControl w:val="false"/>
            <w:kinsoku w:val="true"/>
            <w:overflowPunct w:val="true"/>
            <w:autoSpaceDE w:val="true"/>
            <w:bidi w:val="0"/>
            <w:snapToGrid w:val="true"/>
            <w:spacing w:lineRule="exact" w:line="580" w:before="0" w:after="0"/>
            <w:jc w:val="start"/>
            <w:textAlignment w:val="auto"/>
            <w:rPr>
              <w:rFonts w:ascii="楷体_GB2312" w:hAnsi="楷体_GB2312" w:eastAsia="楷体_GB2312" w:cs="楷体_GB2312" w:hint="eastAsia"/>
              <w:sz w:val="32"/>
            </w:rPr>
          </w:pPr>
          <w:r>
            <w:rPr>
              <w:rFonts w:eastAsia="楷体_GB2312" w:cs="楷体_GB2312" w:hint="eastAsia" w:ascii="楷体_GB2312" w:hAnsi="楷体_GB2312"/>
              <w:sz w:val="32"/>
            </w:rPr>
            <w:t xml:space="preserve">    </w:t>
          </w:r>
          <w:hyperlink w:anchor="__RefHeading___Toc8209">
            <w:r>
              <w:rPr>
                <w:rStyle w:val="IndexLink"/>
                <w:rFonts w:ascii="楷体_GB2312" w:hAnsi="楷体_GB2312" w:cs="楷体_GB2312" w:hint="eastAsia" w:eastAsia="楷体_GB2312"/>
                <w:sz w:val="32"/>
              </w:rPr>
              <w:t>第五章  法律责任</w:t>
            </w:r>
          </w:hyperlink>
        </w:p>
        <w:p>
          <w:pPr>
            <w:pStyle w:val="Normal"/>
            <w:pageBreakBefore w:val="false"/>
            <w:widowControl w:val="false"/>
            <w:kinsoku w:val="true"/>
            <w:overflowPunct w:val="true"/>
            <w:autoSpaceDE w:val="true"/>
            <w:bidi w:val="0"/>
            <w:snapToGrid w:val="true"/>
            <w:spacing w:lineRule="exact" w:line="580" w:before="0" w:after="0"/>
            <w:jc w:val="start"/>
            <w:textAlignment w:val="auto"/>
            <w:rPr>
              <w:rFonts w:ascii="楷体_GB2312" w:hAnsi="楷体_GB2312" w:eastAsia="楷体_GB2312" w:cs="楷体_GB2312" w:hint="eastAsia"/>
              <w:sz w:val="32"/>
            </w:rPr>
          </w:pPr>
          <w:r>
            <w:rPr>
              <w:rFonts w:eastAsia="楷体_GB2312" w:cs="楷体_GB2312" w:hint="eastAsia" w:ascii="楷体_GB2312" w:hAnsi="楷体_GB2312"/>
              <w:sz w:val="32"/>
            </w:rPr>
            <w:t xml:space="preserve">    </w:t>
          </w:r>
          <w:hyperlink w:anchor="__RefHeading___Toc14408">
            <w:r>
              <w:rPr>
                <w:rStyle w:val="IndexLink"/>
                <w:rFonts w:ascii="楷体_GB2312" w:hAnsi="楷体_GB2312" w:cs="楷体_GB2312" w:hint="eastAsia" w:eastAsia="楷体_GB2312"/>
                <w:sz w:val="32"/>
              </w:rPr>
              <w:t>第六章  附则</w:t>
            </w:r>
          </w:hyperlink>
          <w:r>
            <w:rPr>
              <w:rStyle w:val="IndexLink"/>
              <w:rFonts w:eastAsia="楷体_GB2312" w:cs="楷体_GB2312" w:hint="eastAsia" w:ascii="楷体_GB2312" w:hAnsi="楷体_GB2312"/>
              <w:sz w:val="32"/>
            </w:rPr>
            <w:fldChar w:fldCharType="end"/>
          </w:r>
        </w:p>
      </w:sdtContent>
    </w:sdt>
    <w:p>
      <w:pPr>
        <w:pStyle w:val="Normal"/>
        <w:pageBreakBefore w:val="false"/>
        <w:widowControl w:val="false"/>
        <w:kinsoku w:val="true"/>
        <w:overflowPunct w:val="true"/>
        <w:autoSpaceDE w:val="true"/>
        <w:bidi w:val="0"/>
        <w:snapToGrid w:val="true"/>
        <w:spacing w:lineRule="exact" w:line="580" w:before="0" w:after="0"/>
        <w:jc w:val="center"/>
        <w:textAlignment w:val="auto"/>
        <w:rPr>
          <w:rFonts w:ascii="楷体" w:hAnsi="楷体" w:eastAsia="楷体" w:cs="楷体" w:hint="eastAsia"/>
          <w:sz w:val="32"/>
          <w:szCs w:val="32"/>
        </w:rPr>
      </w:pPr>
      <w:r>
        <w:rPr>
          <w:rFonts w:eastAsia="楷体" w:cs="楷体" w:hint="eastAsia" w:ascii="楷体" w:hAnsi="楷体"/>
          <w:sz w:val="32"/>
          <w:szCs w:val="32"/>
        </w:rPr>
      </w:r>
    </w:p>
    <w:p>
      <w:pPr>
        <w:pStyle w:val="Heading1"/>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pPr>
      <w:bookmarkStart w:id="0" w:name="__RefHeading___Toc32583"/>
      <w:bookmarkEnd w:id="0"/>
      <w:r>
        <w:rPr>
          <w:rFonts w:hint="eastAsia"/>
        </w:rPr>
        <w:t>第一章   总则</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黑体"/>
          <w:sz w:val="32"/>
          <w:szCs w:val="32"/>
        </w:rPr>
      </w:pPr>
      <w:r>
        <w:rPr>
          <w:rFonts w:eastAsia="黑体" w:cs="黑体" w:ascii="黑体" w:hAnsi="黑体"/>
          <w:sz w:val="32"/>
          <w:szCs w:val="32"/>
        </w:rPr>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第一条</w:t>
      </w:r>
      <w:r>
        <w:rPr>
          <w:rFonts w:ascii="仿宋" w:hAnsi="仿宋" w:cs="仿宋" w:hint="eastAsia" w:eastAsia="仿宋"/>
          <w:sz w:val="32"/>
          <w:szCs w:val="32"/>
        </w:rPr>
        <w:t xml:space="preserve"> 为了加强档案管理，有效地保护和利用档案，为国民经济和社会发展服务，根据《中华人民共和国档案法》和有关法律、法规，结合我省实际，制定本条例。</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第二条</w:t>
      </w:r>
      <w:r>
        <w:rPr>
          <w:rFonts w:ascii="仿宋" w:hAnsi="仿宋" w:cs="仿宋" w:hint="eastAsia" w:eastAsia="仿宋"/>
          <w:sz w:val="32"/>
          <w:szCs w:val="32"/>
        </w:rPr>
        <w:t xml:space="preserve">  本条例适用于我省行政区域内的国家机关、社会团体、企业事业单位、其他组织及个人。法律、行政法规另有规定的除外。</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第三条</w:t>
      </w:r>
      <w:r>
        <w:rPr>
          <w:rFonts w:ascii="仿宋" w:hAnsi="仿宋" w:cs="仿宋" w:hint="eastAsia" w:eastAsia="仿宋"/>
          <w:sz w:val="32"/>
          <w:szCs w:val="32"/>
        </w:rPr>
        <w:t xml:space="preserve">  本条例所称档案，是指过去和现在的国家机构、社会组织以及个人从事政治、军事、经济、科学、技术、文化、宗教等活动直接形成的对国家和社会有保存价值的各种文字、图表、声像等各种形式的历史记录。</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第四条 </w:t>
      </w:r>
      <w:r>
        <w:rPr>
          <w:rFonts w:ascii="仿宋" w:hAnsi="仿宋" w:cs="仿宋" w:hint="eastAsia" w:eastAsia="仿宋"/>
          <w:sz w:val="32"/>
          <w:szCs w:val="32"/>
        </w:rPr>
        <w:t xml:space="preserve"> 各级人民政府应当加强对本行政区域内档案工作的领导，把档案事业的建设列入国民经济和社会发展计划，建立健全档案机构，保障档案事业发展所需经费。</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第五条</w:t>
      </w:r>
      <w:r>
        <w:rPr>
          <w:rFonts w:ascii="仿宋" w:hAnsi="仿宋" w:cs="仿宋" w:hint="eastAsia" w:eastAsia="仿宋"/>
          <w:sz w:val="32"/>
          <w:szCs w:val="32"/>
        </w:rPr>
        <w:t xml:space="preserve">  档案工作遵循统一领导、分级管理的原则，维护档案的完整与安全，保守国家秘密，便于社会利用。</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第六条</w:t>
      </w:r>
      <w:r>
        <w:rPr>
          <w:rFonts w:ascii="仿宋" w:hAnsi="仿宋" w:cs="仿宋" w:hint="eastAsia" w:eastAsia="仿宋"/>
          <w:sz w:val="32"/>
          <w:szCs w:val="32"/>
        </w:rPr>
        <w:t xml:space="preserve">  各级人民政府及其有关部门对在档案工作中做出显著成绩的单位和个人及向国家捐献重要、珍贵档案的应当给予表彰和奖励。</w:t>
      </w:r>
    </w:p>
    <w:p>
      <w:pPr>
        <w:pStyle w:val="Heading1"/>
        <w:pageBreakBefore w:val="false"/>
        <w:widowControl w:val="false"/>
        <w:kinsoku w:val="true"/>
        <w:overflowPunct w:val="true"/>
        <w:autoSpaceDE w:val="true"/>
        <w:bidi w:val="0"/>
        <w:snapToGrid w:val="true"/>
        <w:spacing w:lineRule="exact" w:line="580" w:before="0" w:after="0"/>
        <w:ind w:hanging="0" w:start="0"/>
        <w:textAlignment w:val="auto"/>
        <w:rPr>
          <w:rFonts w:ascii="仿宋" w:hAnsi="仿宋" w:eastAsia="仿宋" w:cs="仿宋"/>
          <w:sz w:val="32"/>
          <w:szCs w:val="32"/>
        </w:rPr>
      </w:pPr>
      <w:r>
        <w:rPr>
          <w:rFonts w:eastAsia="仿宋" w:cs="仿宋" w:ascii="仿宋" w:hAnsi="仿宋"/>
          <w:sz w:val="32"/>
          <w:szCs w:val="32"/>
        </w:rPr>
      </w:r>
      <w:bookmarkStart w:id="1" w:name="__RefHeading___Toc19291"/>
    </w:p>
    <w:p>
      <w:pPr>
        <w:pStyle w:val="Heading1"/>
        <w:pageBreakBefore w:val="false"/>
        <w:widowControl w:val="false"/>
        <w:kinsoku w:val="true"/>
        <w:overflowPunct w:val="true"/>
        <w:autoSpaceDE w:val="true"/>
        <w:bidi w:val="0"/>
        <w:snapToGrid w:val="true"/>
        <w:spacing w:lineRule="exact" w:line="580" w:before="0" w:after="0"/>
        <w:ind w:hanging="0" w:start="0"/>
        <w:textAlignment w:val="auto"/>
        <w:rPr>
          <w:rFonts w:hint="eastAsia"/>
        </w:rPr>
      </w:pPr>
      <w:r>
        <w:rPr>
          <w:rFonts w:hint="eastAsia"/>
        </w:rPr>
        <w:t>第二章  档案机构及其职责</w:t>
      </w:r>
      <w:bookmarkEnd w:id="1"/>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黑体"/>
          <w:sz w:val="32"/>
          <w:szCs w:val="32"/>
        </w:rPr>
      </w:pPr>
      <w:r>
        <w:rPr>
          <w:rFonts w:eastAsia="黑体" w:cs="黑体" w:ascii="黑体" w:hAnsi="黑体"/>
          <w:sz w:val="32"/>
          <w:szCs w:val="32"/>
        </w:rPr>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第七条</w:t>
      </w:r>
      <w:r>
        <w:rPr>
          <w:rFonts w:ascii="仿宋" w:hAnsi="仿宋" w:cs="仿宋" w:hint="eastAsia" w:eastAsia="仿宋"/>
          <w:sz w:val="32"/>
          <w:szCs w:val="32"/>
        </w:rPr>
        <w:t xml:space="preserve">  省人民政府档案行政管理部门主管全省的档案事业，实行宏观管理、监督和指导。</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市、县（含县级市、区，下同）人民政府档案行政管理部门主管本行政区域内的档案事业，业务上受上级人民政府档案行政管理部门的监督和指导。</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乡、民族乡、镇人民政府和街道办事处应当指定人员负责保管本机关的档案，并对所属行政村和其他组织的档案工作进行监督和指导。</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第八条</w:t>
      </w:r>
      <w:r>
        <w:rPr>
          <w:rFonts w:ascii="仿宋" w:hAnsi="仿宋" w:cs="仿宋" w:hint="eastAsia" w:eastAsia="仿宋"/>
          <w:sz w:val="32"/>
          <w:szCs w:val="32"/>
        </w:rPr>
        <w:t xml:space="preserve">  国家机关、社会团体、企业事业单位和其他组织应当建立档案机构或者配备档案工作人员，统一管理本单位档案；对所属单位的档案工作进行检查和指导；业务上受本行政区域相应的人民政府档案行政管理部门的监督和指导。</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中外合资（合作）企业和外商独资企业应当按照国家规定建立档案，其档案工作接受本行政区域相应的人民政府档案行政管理部门的监督和指导。</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国家综合档案馆按县以上行政区划设置，由本级人民政府批准，负责收集和永久保管多种门类的档案并向社会提供利用。</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国家专门档案馆的设置，应依照国家有关规定、符合省人民政府档案行政管理部门的统一规划，由本级人民政府批准，负责收集和保管某一领域的档案并向社会提供利用。</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部门档案馆可由省和特大城市的专业主管部门根据实际需要设置，由本级人民政府档案行政管理部门统一规划，本级人民政府批准，负责收集和保管本部门及其所属单位形成的档案并在一定范围内提供利用。</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企业设置的档案馆，应符合国家规定的标准，经省人民政府档案行政管理部门审核，报国家档案行政管理部门核准，登记备案。事业单位设置的档案馆，必须符合省人民政府档案行政管理部门的统一规划，经主管部门批准，向同级人民政府档案行政管理部门备案。企业事业单位的档案馆负责收集和保管本单位及其所属单位形成的档案并在一定范围内提供利用。</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第十条</w:t>
      </w:r>
      <w:r>
        <w:rPr>
          <w:rFonts w:ascii="仿宋" w:hAnsi="仿宋" w:cs="仿宋" w:hint="eastAsia" w:eastAsia="仿宋"/>
          <w:sz w:val="32"/>
          <w:szCs w:val="32"/>
        </w:rPr>
        <w:t xml:space="preserve">  综合档案馆收集档案的范围，由省人民政府档案行政管理部门确定。</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专门档案馆和部门档案馆收集档案的范围，由其主管部门提出意见，经本级人民政府档案行政管理部门核准。</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第十一条 </w:t>
      </w:r>
      <w:r>
        <w:rPr>
          <w:rFonts w:ascii="仿宋" w:hAnsi="仿宋" w:cs="仿宋" w:hint="eastAsia" w:eastAsia="仿宋"/>
          <w:sz w:val="32"/>
          <w:szCs w:val="32"/>
        </w:rPr>
        <w:t xml:space="preserve"> 档案工作人员应当具备专业知识，并接受档案管理岗位培训。</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从事档案咨询、鉴定、评估等业务的机构或者人员，必须符合国家规定的条件，并向市以上人民政府档案行政管理部门备案。</w:t>
      </w:r>
    </w:p>
    <w:p>
      <w:pPr>
        <w:pStyle w:val="Heading1"/>
        <w:pageBreakBefore w:val="false"/>
        <w:widowControl w:val="false"/>
        <w:kinsoku w:val="true"/>
        <w:overflowPunct w:val="true"/>
        <w:autoSpaceDE w:val="true"/>
        <w:bidi w:val="0"/>
        <w:snapToGrid w:val="true"/>
        <w:spacing w:lineRule="exact" w:line="580" w:before="0" w:after="0"/>
        <w:ind w:hanging="0" w:start="0"/>
        <w:textAlignment w:val="auto"/>
        <w:rPr>
          <w:rFonts w:ascii="仿宋" w:hAnsi="仿宋" w:eastAsia="仿宋" w:cs="仿宋"/>
          <w:sz w:val="32"/>
          <w:szCs w:val="32"/>
        </w:rPr>
      </w:pPr>
      <w:r>
        <w:rPr>
          <w:rFonts w:eastAsia="仿宋" w:cs="仿宋" w:ascii="仿宋" w:hAnsi="仿宋"/>
          <w:sz w:val="32"/>
          <w:szCs w:val="32"/>
        </w:rPr>
      </w:r>
      <w:bookmarkStart w:id="2" w:name="__RefHeading___Toc24488"/>
    </w:p>
    <w:p>
      <w:pPr>
        <w:pStyle w:val="Heading1"/>
        <w:pageBreakBefore w:val="false"/>
        <w:widowControl w:val="false"/>
        <w:kinsoku w:val="true"/>
        <w:overflowPunct w:val="true"/>
        <w:autoSpaceDE w:val="true"/>
        <w:bidi w:val="0"/>
        <w:snapToGrid w:val="true"/>
        <w:spacing w:lineRule="exact" w:line="580" w:before="0" w:after="0"/>
        <w:ind w:hanging="0" w:start="0"/>
        <w:textAlignment w:val="auto"/>
        <w:rPr>
          <w:rFonts w:hint="eastAsia"/>
        </w:rPr>
      </w:pPr>
      <w:r>
        <w:rPr>
          <w:rFonts w:hint="eastAsia"/>
        </w:rPr>
        <w:t>第三章  档案管理</w:t>
      </w:r>
      <w:bookmarkEnd w:id="2"/>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黑体"/>
          <w:sz w:val="32"/>
          <w:szCs w:val="32"/>
        </w:rPr>
      </w:pPr>
      <w:r>
        <w:rPr>
          <w:rFonts w:eastAsia="黑体" w:cs="黑体" w:ascii="黑体" w:hAnsi="黑体"/>
          <w:sz w:val="32"/>
          <w:szCs w:val="32"/>
        </w:rPr>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第十二条</w:t>
      </w:r>
      <w:r>
        <w:rPr>
          <w:rFonts w:ascii="仿宋" w:hAnsi="仿宋" w:cs="仿宋" w:hint="eastAsia" w:eastAsia="仿宋"/>
          <w:sz w:val="32"/>
          <w:szCs w:val="32"/>
        </w:rPr>
        <w:t xml:space="preserve">  档案所有权根据单位的所有制性质确定。</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非全民私有制的单位使用国有资产形成的档案，经本行政区域相应的人民政府档案行政管理部门认定，属于国家所有。</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个人在非职务活动中形成的档案或者以继承、受赠等合法方式获得的档案归个人所有。</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第十三条</w:t>
      </w:r>
      <w:r>
        <w:rPr>
          <w:rFonts w:ascii="仿宋" w:hAnsi="仿宋" w:cs="仿宋" w:hint="eastAsia" w:eastAsia="仿宋"/>
          <w:sz w:val="32"/>
          <w:szCs w:val="32"/>
        </w:rPr>
        <w:t xml:space="preserve">  国家所有并属于归档范围的文件材料，由文书部门或者业务部门收集齐全并立卷，按时交本单位档案机构集中统一管理；任何部门或者个人不得拒绝归档或者据为己有。</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对档案所有权的界定及归档和进馆档案范围有异议的，由各级人民政府档案行政管理部门作出认定。</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第十四条</w:t>
      </w:r>
      <w:r>
        <w:rPr>
          <w:rFonts w:ascii="仿宋" w:hAnsi="仿宋" w:cs="仿宋" w:hint="eastAsia" w:eastAsia="仿宋"/>
          <w:sz w:val="32"/>
          <w:szCs w:val="32"/>
        </w:rPr>
        <w:t xml:space="preserve">  涉及组织机构的建立、变更和撤销以及具有重大影响的活动，本单位的档案机构或者人员应当对其文件材料的收集、整理和归档进行指导，做好保管和利用工作。</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对科研成果、产品试制、基建工程或者其他技术项目进行鉴定、验收时，应有本单位档案机构或者人员参加，并对应归档的文件材料进行验收。</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属于省、市、县重点项目的档案，由本级人民政府档案行政管理部门会同有关主管部门验收；未进行档案验收或者档案验收不合格的项目，不能通过项目竣工验收或者鉴定。</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第十五条 </w:t>
      </w:r>
      <w:r>
        <w:rPr>
          <w:rFonts w:ascii="仿宋" w:hAnsi="仿宋" w:cs="仿宋" w:hint="eastAsia" w:eastAsia="仿宋"/>
          <w:sz w:val="32"/>
          <w:szCs w:val="32"/>
        </w:rPr>
        <w:t xml:space="preserve"> 国家机关、社会团体、企业事业单位和其他组织应当按照国家规定向有关档案馆移交档案。</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需要提前向档案馆移交档案的，应当经本级人民政府档案行政管理部门同意。需要延期向档案馆移交档案的，按国家有关规定办理。</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第十六条</w:t>
      </w:r>
      <w:r>
        <w:rPr>
          <w:rFonts w:ascii="仿宋" w:hAnsi="仿宋" w:cs="仿宋" w:hint="eastAsia" w:eastAsia="仿宋"/>
          <w:sz w:val="32"/>
          <w:szCs w:val="32"/>
        </w:rPr>
        <w:t xml:space="preserve">  各级各类档案馆应当建立健全档案管理制度，采用先进技术，配置必要的设施，按照有关标准整理和保管档案，保证档案的安全，并对重要、珍贵的档案采取特殊的保护措施。</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第十七条 </w:t>
      </w:r>
      <w:r>
        <w:rPr>
          <w:rFonts w:ascii="仿宋" w:hAnsi="仿宋" w:cs="仿宋" w:hint="eastAsia" w:eastAsia="仿宋"/>
          <w:sz w:val="32"/>
          <w:szCs w:val="32"/>
        </w:rPr>
        <w:t xml:space="preserve"> 因保管条件等原因，被认为可能导致档案损失的，由人民政府档案行政管理部门责令限期改正，并可按照下列规定处理：</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（一）属于档案馆接收范围的档案，经本级人民政府档案行政管理部门检查后，可责成有关档案馆提前接收入馆，并按有关规定收取必要的费用。</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二）不属档案馆接收范围，但对国家和社会具有保存价值或者涉及国家利益和安全的档案，由县以上人民政府档案行政管理部门督促档案所有者改善保管条件，或者征得其同意后由国家综合档案馆免费代为保管；必要时可以收购或者征购。</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第十八条</w:t>
      </w:r>
      <w:r>
        <w:rPr>
          <w:rFonts w:ascii="仿宋" w:hAnsi="仿宋" w:cs="仿宋" w:hint="eastAsia" w:eastAsia="仿宋"/>
          <w:sz w:val="32"/>
          <w:szCs w:val="32"/>
        </w:rPr>
        <w:t xml:space="preserve">  对已经超过保管期限需要销毁的档案，应当按照国家规定进行鉴定和处理。</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任何组织和个人不得涂改、损毁、伪造档案。</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第十九条</w:t>
      </w:r>
      <w:r>
        <w:rPr>
          <w:rFonts w:ascii="仿宋" w:hAnsi="仿宋" w:cs="仿宋" w:hint="eastAsia" w:eastAsia="仿宋"/>
          <w:sz w:val="32"/>
          <w:szCs w:val="32"/>
        </w:rPr>
        <w:t xml:space="preserve">  国家所有的档案禁止赠送、交换、买卖。非国家所有的档案的赠送、交换、出卖必须经县以上人民政府档案行政管理部门批准。严禁倒卖牟利，严禁出售或者赠送给外国人。</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严禁在学术交流等活动中，泄露档案中的国家秘密和非宜事项。</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档案复制件的赠送、交换、买卖按国家有关规定办理。</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国有资产转让或者国有企业破产时，其档案按有关规定办理。</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第二十条</w:t>
      </w:r>
      <w:r>
        <w:rPr>
          <w:rFonts w:ascii="仿宋" w:hAnsi="仿宋" w:cs="仿宋" w:hint="eastAsia" w:eastAsia="仿宋"/>
          <w:sz w:val="32"/>
          <w:szCs w:val="32"/>
        </w:rPr>
        <w:t xml:space="preserve">  单位需要携带、运输、邮寄属于国家所有的档案、集体或者个人所有的但对国家和社会具有保存价值或者应当保密的档案及其复制件出境的，必须经省主管机关同意，报省人民政府档案行政管理部门审批。</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个人需要携带、运输、邮寄前款档案出境的，应当提前</w:t>
      </w:r>
      <w:r>
        <w:rPr>
          <w:rFonts w:eastAsia="仿宋" w:cs="仿宋" w:hint="eastAsia" w:ascii="仿宋" w:hAnsi="仿宋"/>
          <w:sz w:val="32"/>
          <w:szCs w:val="32"/>
        </w:rPr>
        <w:t>30</w:t>
      </w:r>
      <w:r>
        <w:rPr>
          <w:rFonts w:ascii="仿宋" w:hAnsi="仿宋" w:cs="仿宋" w:hint="eastAsia" w:eastAsia="仿宋"/>
          <w:sz w:val="32"/>
          <w:szCs w:val="32"/>
        </w:rPr>
        <w:t>日向所在地的人民政府档案行政管理部门申报，经同意并报省人民政府档案行政管理部门审批。</w:t>
      </w:r>
    </w:p>
    <w:p>
      <w:pPr>
        <w:pStyle w:val="Heading1"/>
        <w:pageBreakBefore w:val="false"/>
        <w:widowControl w:val="false"/>
        <w:kinsoku w:val="true"/>
        <w:overflowPunct w:val="true"/>
        <w:autoSpaceDE w:val="true"/>
        <w:bidi w:val="0"/>
        <w:snapToGrid w:val="true"/>
        <w:spacing w:lineRule="exact" w:line="580" w:before="0" w:after="0"/>
        <w:ind w:hanging="0" w:start="0"/>
        <w:textAlignment w:val="auto"/>
        <w:rPr>
          <w:rFonts w:ascii="仿宋" w:hAnsi="仿宋" w:eastAsia="仿宋" w:cs="仿宋"/>
          <w:sz w:val="32"/>
          <w:szCs w:val="32"/>
        </w:rPr>
      </w:pPr>
      <w:r>
        <w:rPr>
          <w:rFonts w:eastAsia="仿宋" w:cs="仿宋" w:ascii="仿宋" w:hAnsi="仿宋"/>
          <w:sz w:val="32"/>
          <w:szCs w:val="32"/>
        </w:rPr>
      </w:r>
      <w:bookmarkStart w:id="3" w:name="__RefHeading___Toc10835"/>
    </w:p>
    <w:p>
      <w:pPr>
        <w:pStyle w:val="Heading1"/>
        <w:pageBreakBefore w:val="false"/>
        <w:widowControl w:val="false"/>
        <w:kinsoku w:val="true"/>
        <w:overflowPunct w:val="true"/>
        <w:autoSpaceDE w:val="true"/>
        <w:bidi w:val="0"/>
        <w:snapToGrid w:val="true"/>
        <w:spacing w:lineRule="exact" w:line="580" w:before="0" w:after="0"/>
        <w:ind w:hanging="0" w:start="0"/>
        <w:textAlignment w:val="auto"/>
        <w:rPr>
          <w:rFonts w:hint="eastAsia"/>
        </w:rPr>
      </w:pPr>
      <w:r>
        <w:rPr>
          <w:rFonts w:hint="eastAsia"/>
        </w:rPr>
        <w:t>第四章  档案的利用和公布</w:t>
      </w:r>
      <w:bookmarkEnd w:id="3"/>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黑体"/>
          <w:sz w:val="32"/>
          <w:szCs w:val="32"/>
        </w:rPr>
      </w:pPr>
      <w:r>
        <w:rPr>
          <w:rFonts w:eastAsia="黑体" w:cs="黑体" w:ascii="黑体" w:hAnsi="黑体"/>
          <w:sz w:val="32"/>
          <w:szCs w:val="32"/>
        </w:rPr>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第二十一条</w:t>
      </w:r>
      <w:r>
        <w:rPr>
          <w:rFonts w:ascii="仿宋" w:hAnsi="仿宋" w:cs="仿宋" w:hint="eastAsia" w:eastAsia="仿宋"/>
          <w:sz w:val="32"/>
          <w:szCs w:val="32"/>
        </w:rPr>
        <w:t xml:space="preserve">  档案馆应当按照国家规定向社会开放档案，档案的利用按国家规定办理。</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档案馆如需要向社会提供利用寄存在档案馆的档案，应当征得档案寄存者的同意。</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第二十二条</w:t>
      </w:r>
      <w:r>
        <w:rPr>
          <w:rFonts w:ascii="仿宋" w:hAnsi="仿宋" w:cs="仿宋" w:hint="eastAsia" w:eastAsia="仿宋"/>
          <w:sz w:val="32"/>
          <w:szCs w:val="32"/>
        </w:rPr>
        <w:t xml:space="preserve">  档案馆和其他档案机构提供利用重要、珍贵的档案，应当用复制件代替原件。档案复制件盖有档案保管单位印章，具有与档案原件同等效力。</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第二十三条</w:t>
      </w:r>
      <w:r>
        <w:rPr>
          <w:rFonts w:ascii="仿宋" w:hAnsi="仿宋" w:cs="仿宋" w:hint="eastAsia" w:eastAsia="仿宋"/>
          <w:sz w:val="32"/>
          <w:szCs w:val="32"/>
        </w:rPr>
        <w:t xml:space="preserve">  档案馆提供利用档案实行有偿服务，收费范围和标准由省人民政府档案行政管理部门会同省物价部门制定。</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组织及个人利用其移交、捐赠的档案，档案馆应当无偿和优先提供。</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第二十四条</w:t>
      </w:r>
      <w:r>
        <w:rPr>
          <w:rFonts w:ascii="仿宋" w:hAnsi="仿宋" w:cs="仿宋" w:hint="eastAsia" w:eastAsia="仿宋"/>
          <w:sz w:val="32"/>
          <w:szCs w:val="32"/>
        </w:rPr>
        <w:t xml:space="preserve">  档案的公布是指通过下列形式首次向社会公开：</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（一）通过报纸、刊物、图书等合法出版物刊登档案原文；</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（二）通过广播、电视、电影等播放档案原文；</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（三）出版发行档案史料汇编及公开出售档案复制件；</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（四）陈列、展览档案或者其复制件；</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（五）散发、张贴档案复制件；</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（六）在公用计算机信息网络传播档案原文。</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档案的公布按国家规定办理，任何组织和个人不得擅自公布档案。</w:t>
      </w:r>
    </w:p>
    <w:p>
      <w:pPr>
        <w:pStyle w:val="Heading1"/>
        <w:pageBreakBefore w:val="false"/>
        <w:widowControl w:val="false"/>
        <w:kinsoku w:val="true"/>
        <w:overflowPunct w:val="true"/>
        <w:autoSpaceDE w:val="true"/>
        <w:bidi w:val="0"/>
        <w:snapToGrid w:val="true"/>
        <w:spacing w:lineRule="exact" w:line="580" w:before="0" w:after="0"/>
        <w:ind w:hanging="0" w:start="0"/>
        <w:textAlignment w:val="auto"/>
        <w:rPr>
          <w:rFonts w:ascii="仿宋" w:hAnsi="仿宋" w:eastAsia="仿宋" w:cs="仿宋"/>
          <w:sz w:val="32"/>
          <w:szCs w:val="32"/>
        </w:rPr>
      </w:pPr>
      <w:r>
        <w:rPr>
          <w:rFonts w:eastAsia="仿宋" w:cs="仿宋" w:ascii="仿宋" w:hAnsi="仿宋"/>
          <w:sz w:val="32"/>
          <w:szCs w:val="32"/>
        </w:rPr>
      </w:r>
      <w:bookmarkStart w:id="4" w:name="__RefHeading___Toc8209"/>
    </w:p>
    <w:p>
      <w:pPr>
        <w:pStyle w:val="Heading1"/>
        <w:pageBreakBefore w:val="false"/>
        <w:widowControl w:val="false"/>
        <w:kinsoku w:val="true"/>
        <w:overflowPunct w:val="true"/>
        <w:autoSpaceDE w:val="true"/>
        <w:bidi w:val="0"/>
        <w:snapToGrid w:val="true"/>
        <w:spacing w:lineRule="exact" w:line="580" w:before="0" w:after="0"/>
        <w:ind w:hanging="0" w:start="0"/>
        <w:textAlignment w:val="auto"/>
        <w:rPr>
          <w:rFonts w:hint="eastAsia"/>
        </w:rPr>
      </w:pPr>
      <w:r>
        <w:rPr>
          <w:rFonts w:hint="eastAsia"/>
        </w:rPr>
        <w:t>第五章  法律责任</w:t>
      </w:r>
      <w:bookmarkEnd w:id="4"/>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黑体"/>
          <w:sz w:val="32"/>
          <w:szCs w:val="32"/>
        </w:rPr>
      </w:pPr>
      <w:r>
        <w:rPr>
          <w:rFonts w:eastAsia="黑体" w:cs="黑体" w:ascii="黑体" w:hAnsi="黑体"/>
          <w:sz w:val="32"/>
          <w:szCs w:val="32"/>
        </w:rPr>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第二十五条</w:t>
      </w:r>
      <w:r>
        <w:rPr>
          <w:rFonts w:ascii="仿宋" w:hAnsi="仿宋" w:cs="仿宋" w:hint="eastAsia" w:eastAsia="仿宋"/>
          <w:sz w:val="32"/>
          <w:szCs w:val="32"/>
        </w:rPr>
        <w:t xml:space="preserve">  违反本条例，有下列行为之一的单位，由县以上人民政府档案行政管理部门责令改正；情节严重的，由主管部门对直接负责的主管人员或者其他直接责任人员给予行政处分：</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（一）档案管理混乱或者造成档案损失的；</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（二）擅自设立、撤销档案馆的；</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（三）拒绝接受人民政府档案行政管理部门监督检查或者拒不改正的；</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（四）不按规定归档或者不按规定向档案馆移交档案的；</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（五）不按规定向社会开放和提供利用档案的；</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（六）将属于国家所有的档案据为己有的。</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第二十六条</w:t>
      </w:r>
      <w:r>
        <w:rPr>
          <w:rFonts w:ascii="仿宋" w:hAnsi="仿宋" w:cs="仿宋" w:hint="eastAsia" w:eastAsia="仿宋"/>
          <w:sz w:val="32"/>
          <w:szCs w:val="32"/>
        </w:rPr>
        <w:t xml:space="preserve">  违反本条例，有下列情形之一的，按照《中华人民共和国档案法》和《中华人民共和国档案法实施办法》的有关规定处罚：</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（一）损毁、丢失属于国家所有的档案的；</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（二）擅自提供、抄录、公布、销毁属于国家所有的档案的；</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（三）涂改伪造档案的。</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第二十七条</w:t>
      </w:r>
      <w:r>
        <w:rPr>
          <w:rFonts w:ascii="仿宋" w:hAnsi="仿宋" w:cs="仿宋" w:hint="eastAsia" w:eastAsia="仿宋"/>
          <w:sz w:val="32"/>
          <w:szCs w:val="32"/>
        </w:rPr>
        <w:t xml:space="preserve">  违反国家规定，赠送、交换、转让、出卖、倒卖档案及其复制件的，除依法给予行政处分外，由县以上人民政府档案行政管理部门给予警告，可以对单位并处</w:t>
      </w:r>
      <w:r>
        <w:rPr>
          <w:rFonts w:eastAsia="仿宋" w:cs="仿宋" w:hint="eastAsia" w:ascii="仿宋" w:hAnsi="仿宋"/>
          <w:sz w:val="32"/>
          <w:szCs w:val="32"/>
        </w:rPr>
        <w:t>3000</w:t>
      </w:r>
      <w:r>
        <w:rPr>
          <w:rFonts w:ascii="仿宋" w:hAnsi="仿宋" w:cs="仿宋" w:hint="eastAsia" w:eastAsia="仿宋"/>
          <w:sz w:val="32"/>
          <w:szCs w:val="32"/>
        </w:rPr>
        <w:t>元至</w:t>
      </w:r>
      <w:r>
        <w:rPr>
          <w:rFonts w:eastAsia="仿宋" w:cs="仿宋" w:hint="eastAsia" w:ascii="仿宋" w:hAnsi="仿宋"/>
          <w:sz w:val="32"/>
          <w:szCs w:val="32"/>
        </w:rPr>
        <w:t>3</w:t>
      </w:r>
      <w:r>
        <w:rPr>
          <w:rFonts w:ascii="仿宋" w:hAnsi="仿宋" w:cs="仿宋" w:hint="eastAsia" w:eastAsia="仿宋"/>
          <w:sz w:val="32"/>
          <w:szCs w:val="32"/>
        </w:rPr>
        <w:t>万元罚款，对个人并处</w:t>
      </w:r>
      <w:r>
        <w:rPr>
          <w:rFonts w:eastAsia="仿宋" w:cs="仿宋" w:hint="eastAsia" w:ascii="仿宋" w:hAnsi="仿宋"/>
          <w:sz w:val="32"/>
          <w:szCs w:val="32"/>
        </w:rPr>
        <w:t>200</w:t>
      </w:r>
      <w:r>
        <w:rPr>
          <w:rFonts w:ascii="仿宋" w:hAnsi="仿宋" w:cs="仿宋" w:hint="eastAsia" w:eastAsia="仿宋"/>
          <w:sz w:val="32"/>
          <w:szCs w:val="32"/>
        </w:rPr>
        <w:t>元至</w:t>
      </w:r>
      <w:r>
        <w:rPr>
          <w:rFonts w:eastAsia="仿宋" w:cs="仿宋" w:hint="eastAsia" w:ascii="仿宋" w:hAnsi="仿宋"/>
          <w:sz w:val="32"/>
          <w:szCs w:val="32"/>
        </w:rPr>
        <w:t>2000</w:t>
      </w:r>
      <w:r>
        <w:rPr>
          <w:rFonts w:ascii="仿宋" w:hAnsi="仿宋" w:cs="仿宋" w:hint="eastAsia" w:eastAsia="仿宋"/>
          <w:sz w:val="32"/>
          <w:szCs w:val="32"/>
        </w:rPr>
        <w:t>元罚款；有违法所得的，没收违法所得；并可以依法征购所出卖或者赠送的档案；构成犯罪的，依法追究刑事责任。</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第二十八条</w:t>
      </w:r>
      <w:r>
        <w:rPr>
          <w:rFonts w:ascii="仿宋" w:hAnsi="仿宋" w:cs="仿宋" w:hint="eastAsia" w:eastAsia="仿宋"/>
          <w:sz w:val="32"/>
          <w:szCs w:val="32"/>
        </w:rPr>
        <w:t xml:space="preserve">  违反本条例，擅自携带、运输、邮寄档案及其复制件出境的，由海关予以没收，可以并处罚款；没收的档案或者复制件移交省人民政府行政管理部门处理；构成犯罪的，依法追究刑事责任。</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泄露应当保密的档案的，依照国家有关法律、法规的规定处理。</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第二十九条</w:t>
      </w:r>
      <w:r>
        <w:rPr>
          <w:rFonts w:ascii="仿宋" w:hAnsi="仿宋" w:cs="仿宋" w:hint="eastAsia" w:eastAsia="仿宋"/>
          <w:sz w:val="32"/>
          <w:szCs w:val="32"/>
        </w:rPr>
        <w:t xml:space="preserve">  档案行政执法人员玩忽职守、徇私舞弊的，由各级人民政府档案行政管理部门给予行政处分；构成犯罪的，依法追究刑事责任。</w:t>
      </w:r>
    </w:p>
    <w:p>
      <w:pPr>
        <w:pStyle w:val="Heading1"/>
        <w:pageBreakBefore w:val="false"/>
        <w:widowControl w:val="false"/>
        <w:kinsoku w:val="true"/>
        <w:overflowPunct w:val="true"/>
        <w:autoSpaceDE w:val="true"/>
        <w:bidi w:val="0"/>
        <w:snapToGrid w:val="true"/>
        <w:spacing w:lineRule="exact" w:line="580" w:before="0" w:after="0"/>
        <w:ind w:hanging="0" w:start="0"/>
        <w:textAlignment w:val="auto"/>
        <w:rPr>
          <w:rFonts w:ascii="仿宋" w:hAnsi="仿宋" w:eastAsia="仿宋" w:cs="仿宋"/>
          <w:sz w:val="32"/>
          <w:szCs w:val="32"/>
        </w:rPr>
      </w:pPr>
      <w:r>
        <w:rPr>
          <w:rFonts w:eastAsia="仿宋" w:cs="仿宋" w:ascii="仿宋" w:hAnsi="仿宋"/>
          <w:sz w:val="32"/>
          <w:szCs w:val="32"/>
        </w:rPr>
      </w:r>
      <w:bookmarkStart w:id="5" w:name="__RefHeading___Toc14408"/>
    </w:p>
    <w:p>
      <w:pPr>
        <w:pStyle w:val="Heading1"/>
        <w:pageBreakBefore w:val="false"/>
        <w:widowControl w:val="false"/>
        <w:kinsoku w:val="true"/>
        <w:overflowPunct w:val="true"/>
        <w:autoSpaceDE w:val="true"/>
        <w:bidi w:val="0"/>
        <w:snapToGrid w:val="true"/>
        <w:spacing w:lineRule="exact" w:line="580" w:before="0" w:after="0"/>
        <w:ind w:hanging="0" w:start="0"/>
        <w:textAlignment w:val="auto"/>
        <w:rPr>
          <w:rFonts w:hint="eastAsia"/>
        </w:rPr>
      </w:pPr>
      <w:r>
        <w:rPr>
          <w:rFonts w:hint="eastAsia"/>
        </w:rPr>
        <w:t>第六章  附    则</w:t>
      </w:r>
      <w:bookmarkEnd w:id="5"/>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黑体"/>
          <w:sz w:val="32"/>
          <w:szCs w:val="32"/>
        </w:rPr>
      </w:pPr>
      <w:r>
        <w:rPr>
          <w:rFonts w:eastAsia="黑体" w:cs="黑体" w:ascii="黑体" w:hAnsi="黑体"/>
          <w:sz w:val="32"/>
          <w:szCs w:val="32"/>
        </w:rPr>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第三十条</w:t>
      </w:r>
      <w:r>
        <w:rPr>
          <w:rFonts w:ascii="仿宋" w:hAnsi="仿宋" w:cs="仿宋" w:hint="eastAsia" w:eastAsia="仿宋"/>
          <w:sz w:val="32"/>
          <w:szCs w:val="32"/>
        </w:rPr>
        <w:t xml:space="preserve">  本条例自</w:t>
      </w:r>
      <w:r>
        <w:rPr>
          <w:rFonts w:eastAsia="仿宋" w:cs="仿宋" w:hint="eastAsia" w:ascii="仿宋" w:hAnsi="仿宋"/>
          <w:sz w:val="32"/>
          <w:szCs w:val="32"/>
        </w:rPr>
        <w:t>1997</w:t>
      </w:r>
      <w:r>
        <w:rPr>
          <w:rFonts w:ascii="仿宋" w:hAnsi="仿宋" w:cs="仿宋" w:hint="eastAsia" w:eastAsia="仿宋"/>
          <w:sz w:val="32"/>
          <w:szCs w:val="32"/>
        </w:rPr>
        <w:t>年</w:t>
      </w:r>
      <w:r>
        <w:rPr>
          <w:rFonts w:eastAsia="仿宋" w:cs="仿宋" w:hint="eastAsia" w:ascii="仿宋" w:hAnsi="仿宋"/>
          <w:sz w:val="32"/>
          <w:szCs w:val="32"/>
        </w:rPr>
        <w:t>9</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b/>
          <w:bCs/>
          <w:sz w:val="32"/>
          <w:szCs w:val="32"/>
        </w:rPr>
      </w:pPr>
      <w:r>
        <w:rPr>
          <w:rFonts w:eastAsia="仿宋" w:cs="仿宋" w:ascii="仿宋" w:hAnsi="仿宋"/>
          <w:b/>
          <w:bCs/>
          <w:sz w:val="32"/>
          <w:szCs w:val="32"/>
        </w:rPr>
      </w:r>
    </w:p>
    <w:p>
      <w:pPr>
        <w:pStyle w:val="Normal"/>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b/>
          <w:bCs/>
          <w:sz w:val="32"/>
          <w:szCs w:val="32"/>
        </w:rPr>
      </w:pPr>
      <w:r>
        <w:rPr>
          <w:rFonts w:eastAsia="仿宋" w:cs="仿宋" w:ascii="仿宋" w:hAnsi="仿宋"/>
          <w:b/>
          <w:bCs/>
          <w:sz w:val="32"/>
          <w:szCs w:val="32"/>
        </w:rPr>
      </w:r>
    </w:p>
    <w:sectPr>
      <w:footerReference w:type="even" r:id="rId2"/>
      <w:footerReference w:type="default" r:id="rId3"/>
      <w:type w:val="nextPage"/>
      <w:pgSz w:w="11906" w:h="16838"/>
      <w:pgMar w:left="1587" w:right="1474" w:gutter="0" w:header="0" w:top="1984" w:footer="1219" w:bottom="1701"/>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仿宋">
    <w:charset w:val="86"/>
    <w:family w:val="auto"/>
    <w:pitch w:val="default"/>
  </w:font>
  <w:font w:name="楷体_GB2312">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1" behindDoc="0" locked="0" layoutInCell="0" allowOverlap="1">
              <wp:simplePos x="0" y="0"/>
              <wp:positionH relativeFrom="margin">
                <wp:posOffset>-635</wp:posOffset>
              </wp:positionH>
              <wp:positionV relativeFrom="paragraph">
                <wp:posOffset>635</wp:posOffset>
              </wp:positionV>
              <wp:extent cx="29654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296545" cy="302260"/>
                      </a:xfrm>
                      <a:prstGeom prst="rect"/>
                      <a:solidFill>
                        <a:srgbClr val="FFFFFF">
                          <a:alpha val="0"/>
                        </a:srgbClr>
                      </a:solidFill>
                    </wps:spPr>
                    <wps:txbx>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6" behindDoc="0" locked="0" layoutInCell="0" allowOverlap="1">
              <wp:simplePos x="0" y="0"/>
              <wp:positionH relativeFrom="margin">
                <wp:posOffset>-635</wp:posOffset>
              </wp:positionH>
              <wp:positionV relativeFrom="paragraph">
                <wp:posOffset>635</wp:posOffset>
              </wp:positionV>
              <wp:extent cx="286512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865120" cy="302260"/>
                      </a:xfrm>
                      <a:prstGeom prst="rect"/>
                      <a:solidFill>
                        <a:srgbClr val="FFFFFF">
                          <a:alpha val="0"/>
                        </a:srgbClr>
                      </a:solidFill>
                    </wps:spPr>
                    <wps:txbx>
                      <w:txbxContent>
                        <w:p>
                          <w:pPr>
                            <w:pStyle w:val="Footer"/>
                            <w:pBdr/>
                            <w:spacing w:before="0" w:after="0"/>
                            <w:rPr>
                              <w:rFonts w:ascii="宋体" w:hAnsi="宋体" w:eastAsia="宋体" w:cs="宋体" w:hint="eastAsia"/>
                              <w:sz w:val="28"/>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9</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25.6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ascii="宋体" w:hAnsi="宋体" w:eastAsia="宋体" w:cs="宋体" w:hint="eastAsia"/>
                        <w:sz w:val="28"/>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9</w:t>
                    </w:r>
                    <w:r>
                      <w:rPr>
                        <w:rFonts w:eastAsia="宋体"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hi-IN"/>
    </w:rPr>
  </w:style>
  <w:style w:type="paragraph" w:styleId="Heading1">
    <w:name w:val="heading 1"/>
    <w:basedOn w:val="Normal"/>
    <w:next w:val="Normal"/>
    <w:qFormat/>
    <w:pPr>
      <w:keepNext w:val="true"/>
      <w:keepLines/>
      <w:numPr>
        <w:ilvl w:val="0"/>
        <w:numId w:val="1"/>
      </w:numPr>
      <w:spacing w:lineRule="exact" w:line="560"/>
      <w:jc w:val="center"/>
      <w:outlineLvl w:val="0"/>
    </w:pPr>
    <w:rPr>
      <w:rFonts w:ascii="Calibri" w:hAnsi="Calibri" w:eastAsia="黑体" w:cs="Calibri"/>
      <w:kern w:val="2"/>
      <w:sz w:val="32"/>
    </w:rPr>
  </w:style>
  <w:style w:type="paragraph" w:styleId="Heading2">
    <w:name w:val="heading 2"/>
    <w:basedOn w:val="Normal"/>
    <w:next w:val="Normal"/>
    <w:qFormat/>
    <w:pPr>
      <w:keepNext w:val="true"/>
      <w:keepLines/>
      <w:numPr>
        <w:ilvl w:val="1"/>
        <w:numId w:val="1"/>
      </w:numPr>
      <w:spacing w:lineRule="auto" w:line="413" w:before="312" w:after="312"/>
      <w:jc w:val="center"/>
      <w:outlineLvl w:val="1"/>
    </w:pPr>
    <w:rPr>
      <w:rFonts w:ascii="Arial" w:hAnsi="Arial" w:cs="Arial"/>
      <w:sz w:val="32"/>
    </w:rPr>
  </w:style>
  <w:style w:type="paragraph" w:styleId="Heading3">
    <w:name w:val="heading 3"/>
    <w:basedOn w:val="Normal"/>
    <w:next w:val="Normal"/>
    <w:qFormat/>
    <w:pPr>
      <w:keepNext w:val="true"/>
      <w:keepLines/>
      <w:numPr>
        <w:ilvl w:val="2"/>
        <w:numId w:val="1"/>
      </w:numPr>
      <w:spacing w:lineRule="exact" w:line="560"/>
      <w:ind w:firstLineChars="200" w:startChars="0" w:start="0" w:endChars="0" w:end="0"/>
      <w:jc w:val="start"/>
      <w:outlineLvl w:val="2"/>
    </w:pPr>
    <w:rPr>
      <w:rFonts w:eastAsia="楷体"/>
      <w:sz w:val="32"/>
    </w:rPr>
  </w:style>
  <w:style w:type="character" w:styleId="Style11">
    <w:name w:val="默认段落字体"/>
    <w:qFormat/>
    <w:rPr/>
  </w:style>
  <w:style w:type="character" w:styleId="3Char">
    <w:name w:val="标题 3 Char"/>
    <w:qFormat/>
    <w:rPr>
      <w:rFonts w:eastAsia="楷体"/>
      <w:sz w:val="32"/>
    </w:rPr>
  </w:style>
  <w:style w:type="character" w:styleId="CharChar">
    <w:name w:val="目录 Char Char"/>
    <w:qFormat/>
    <w:rPr>
      <w:rFonts w:ascii="Calibri" w:hAnsi="Calibri" w:eastAsia="仿宋" w:cs="Calibri"/>
      <w:sz w:val="32"/>
    </w:rPr>
  </w:style>
  <w:style w:type="character" w:styleId="PageNumber">
    <w:name w:val="page number"/>
    <w:basedOn w:val="Style11"/>
    <w:rPr/>
  </w:style>
  <w:style w:type="character" w:styleId="1Char">
    <w:name w:val="标题 1 Char"/>
    <w:qFormat/>
    <w:rPr>
      <w:rFonts w:ascii="Calibri" w:hAnsi="Calibri" w:eastAsia="黑体" w:cs="Calibri"/>
      <w:kern w:val="2"/>
      <w:sz w:val="3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2">
    <w:name w:val="toc 2"/>
    <w:basedOn w:val="Normal"/>
    <w:next w:val="Normal"/>
    <w:pPr>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Style12">
    <w:name w:val="目录"/>
    <w:basedOn w:val="Normal"/>
    <w:qFormat/>
    <w:pPr>
      <w:spacing w:lineRule="exact" w:line="560"/>
    </w:pPr>
    <w:rPr>
      <w:rFonts w:ascii="Calibri" w:hAnsi="Calibri" w:eastAsia="仿宋" w:cs="Calibri"/>
      <w:sz w:val="32"/>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2017-02-10T12:07:00Z</dcterms:created>
  <dc:creator>Administrator</dc:creator>
  <dc:description/>
  <dc:language>en-US</dc:language>
  <cp:lastModifiedBy/>
  <dcterms:modified xsi:type="dcterms:W3CDTF">2020-05-22T10:19:41Z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